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5000" w:type="pct"/>
        <w:tblInd w:w="108" w:type="dxa"/>
        <w:tblLayout w:type="autofit"/>
        <w:tblCellMar>
          <w:top w:w="0" w:type="dxa"/>
          <w:left w:w="108" w:type="dxa"/>
          <w:bottom w:w="0" w:type="dxa"/>
          <w:right w:w="108" w:type="dxa"/>
        </w:tblCellMar>
      </w:tblPr>
      <w:tblGrid>
        <w:gridCol w:w="3215"/>
        <w:gridCol w:w="5312"/>
      </w:tblGrid>
      <w:tr w14:paraId="02EE56EF">
        <w:trPr>
          <w:trHeight w:val="630" w:hRule="atLeast"/>
        </w:trPr>
        <w:tc>
          <w:tcPr>
            <w:tcW w:w="1885" w:type="pct"/>
            <w:vMerge w:val="restart"/>
            <w:tcBorders>
              <w:top w:val="nil"/>
              <w:bottom w:val="nil"/>
            </w:tcBorders>
            <w:noWrap w:val="0"/>
            <w:vAlign w:val="top"/>
          </w:tcPr>
          <w:p w14:paraId="6A7D098A">
            <w:pPr>
              <w:widowControl/>
              <w:jc w:val="left"/>
              <w:rPr>
                <w:rFonts w:ascii="宋体" w:hAnsi="宋体" w:cs="宋体"/>
                <w:sz w:val="24"/>
                <w:highlight w:val="none"/>
              </w:rPr>
            </w:pPr>
          </w:p>
          <w:p w14:paraId="5856D9FD">
            <w:pPr>
              <w:widowControl/>
              <w:jc w:val="left"/>
              <w:rPr>
                <w:rFonts w:ascii="宋体" w:hAnsi="宋体" w:cs="宋体"/>
                <w:sz w:val="24"/>
                <w:highlight w:val="none"/>
              </w:rPr>
            </w:pPr>
          </w:p>
        </w:tc>
        <w:tc>
          <w:tcPr>
            <w:tcW w:w="3114" w:type="pct"/>
            <w:tcBorders>
              <w:left w:val="nil"/>
            </w:tcBorders>
            <w:noWrap w:val="0"/>
            <w:vAlign w:val="center"/>
          </w:tcPr>
          <w:p w14:paraId="5B828C0C">
            <w:pPr>
              <w:adjustRightInd w:val="0"/>
              <w:snapToGrid w:val="0"/>
              <w:jc w:val="right"/>
              <w:rPr>
                <w:rFonts w:ascii="宋体" w:hAnsi="宋体"/>
                <w:sz w:val="30"/>
                <w:szCs w:val="30"/>
                <w:highlight w:val="none"/>
              </w:rPr>
            </w:pPr>
          </w:p>
        </w:tc>
      </w:tr>
      <w:tr w14:paraId="670BD36B">
        <w:tblPrEx>
          <w:tblCellMar>
            <w:top w:w="0" w:type="dxa"/>
            <w:left w:w="108" w:type="dxa"/>
            <w:bottom w:w="0" w:type="dxa"/>
            <w:right w:w="108" w:type="dxa"/>
          </w:tblCellMar>
        </w:tblPrEx>
        <w:trPr>
          <w:trHeight w:val="630" w:hRule="atLeast"/>
        </w:trPr>
        <w:tc>
          <w:tcPr>
            <w:tcW w:w="1885" w:type="pct"/>
            <w:vMerge w:val="continue"/>
            <w:noWrap w:val="0"/>
            <w:vAlign w:val="center"/>
          </w:tcPr>
          <w:p w14:paraId="665F1494">
            <w:pPr>
              <w:widowControl/>
              <w:jc w:val="left"/>
              <w:rPr>
                <w:rFonts w:ascii="宋体" w:hAnsi="宋体"/>
                <w:sz w:val="30"/>
                <w:szCs w:val="30"/>
                <w:highlight w:val="none"/>
              </w:rPr>
            </w:pPr>
          </w:p>
        </w:tc>
        <w:tc>
          <w:tcPr>
            <w:tcW w:w="3114" w:type="pct"/>
            <w:tcBorders>
              <w:left w:val="nil"/>
            </w:tcBorders>
            <w:noWrap w:val="0"/>
            <w:vAlign w:val="center"/>
          </w:tcPr>
          <w:p w14:paraId="797A705C">
            <w:pPr>
              <w:widowControl/>
              <w:jc w:val="left"/>
              <w:rPr>
                <w:rFonts w:ascii="宋体" w:hAnsi="宋体"/>
                <w:sz w:val="30"/>
                <w:szCs w:val="30"/>
                <w:highlight w:val="none"/>
              </w:rPr>
            </w:pPr>
          </w:p>
        </w:tc>
      </w:tr>
      <w:tr w14:paraId="6FF4C758">
        <w:tblPrEx>
          <w:tblCellMar>
            <w:top w:w="0" w:type="dxa"/>
            <w:left w:w="108" w:type="dxa"/>
            <w:bottom w:w="0" w:type="dxa"/>
            <w:right w:w="108" w:type="dxa"/>
          </w:tblCellMar>
        </w:tblPrEx>
        <w:trPr>
          <w:trHeight w:val="630" w:hRule="atLeast"/>
        </w:trPr>
        <w:tc>
          <w:tcPr>
            <w:tcW w:w="1885" w:type="pct"/>
            <w:vMerge w:val="continue"/>
            <w:tcBorders>
              <w:bottom w:val="threeDEngrave" w:color="auto" w:sz="24" w:space="0"/>
            </w:tcBorders>
            <w:noWrap w:val="0"/>
            <w:vAlign w:val="top"/>
          </w:tcPr>
          <w:p w14:paraId="59693574">
            <w:pPr>
              <w:widowControl/>
              <w:jc w:val="right"/>
              <w:rPr>
                <w:rFonts w:ascii="宋体" w:hAnsi="宋体"/>
                <w:sz w:val="30"/>
                <w:szCs w:val="30"/>
                <w:highlight w:val="none"/>
              </w:rPr>
            </w:pPr>
          </w:p>
        </w:tc>
        <w:tc>
          <w:tcPr>
            <w:tcW w:w="3114" w:type="pct"/>
            <w:tcBorders>
              <w:left w:val="nil"/>
              <w:bottom w:val="threeDEngrave" w:color="auto" w:sz="24" w:space="0"/>
            </w:tcBorders>
            <w:noWrap w:val="0"/>
            <w:vAlign w:val="bottom"/>
          </w:tcPr>
          <w:p w14:paraId="15DDDD64">
            <w:pPr>
              <w:jc w:val="right"/>
              <w:rPr>
                <w:rFonts w:ascii="宋体" w:hAnsi="宋体"/>
                <w:b/>
                <w:sz w:val="30"/>
                <w:szCs w:val="30"/>
                <w:highlight w:val="none"/>
              </w:rPr>
            </w:pPr>
          </w:p>
        </w:tc>
      </w:tr>
      <w:tr w14:paraId="06AF4B0C">
        <w:tblPrEx>
          <w:tblCellMar>
            <w:top w:w="0" w:type="dxa"/>
            <w:left w:w="108" w:type="dxa"/>
            <w:bottom w:w="0" w:type="dxa"/>
            <w:right w:w="108" w:type="dxa"/>
          </w:tblCellMar>
        </w:tblPrEx>
        <w:trPr>
          <w:trHeight w:val="586" w:hRule="atLeast"/>
        </w:trPr>
        <w:tc>
          <w:tcPr>
            <w:tcW w:w="5000" w:type="pct"/>
            <w:gridSpan w:val="2"/>
            <w:tcBorders>
              <w:top w:val="threeDEngrave" w:color="auto" w:sz="24" w:space="0"/>
              <w:left w:val="nil"/>
              <w:right w:val="nil"/>
            </w:tcBorders>
            <w:noWrap w:val="0"/>
            <w:vAlign w:val="center"/>
          </w:tcPr>
          <w:p w14:paraId="52CA51A6">
            <w:pPr>
              <w:jc w:val="both"/>
              <w:rPr>
                <w:rFonts w:ascii="宋体" w:hAnsi="宋体" w:cs="仿宋_GB2312"/>
                <w:b/>
                <w:bCs/>
                <w:sz w:val="36"/>
                <w:szCs w:val="36"/>
                <w:highlight w:val="none"/>
              </w:rPr>
            </w:pPr>
          </w:p>
        </w:tc>
      </w:tr>
      <w:tr w14:paraId="7FAB1CB7">
        <w:tblPrEx>
          <w:tblCellMar>
            <w:top w:w="0" w:type="dxa"/>
            <w:left w:w="108" w:type="dxa"/>
            <w:bottom w:w="0" w:type="dxa"/>
            <w:right w:w="108" w:type="dxa"/>
          </w:tblCellMar>
        </w:tblPrEx>
        <w:trPr>
          <w:trHeight w:val="706" w:hRule="atLeast"/>
        </w:trPr>
        <w:tc>
          <w:tcPr>
            <w:tcW w:w="5000" w:type="pct"/>
            <w:gridSpan w:val="2"/>
            <w:tcBorders>
              <w:left w:val="nil"/>
              <w:right w:val="nil"/>
            </w:tcBorders>
            <w:noWrap w:val="0"/>
            <w:vAlign w:val="center"/>
          </w:tcPr>
          <w:p w14:paraId="4323EC08">
            <w:pPr>
              <w:adjustRightInd w:val="0"/>
              <w:snapToGrid w:val="0"/>
              <w:spacing w:line="300" w:lineRule="auto"/>
              <w:jc w:val="right"/>
              <w:rPr>
                <w:rFonts w:hint="eastAsia" w:ascii="宋体" w:hAnsi="宋体" w:eastAsia="宋体" w:cs="仿宋_GB2312"/>
                <w:b/>
                <w:bCs/>
                <w:sz w:val="36"/>
                <w:szCs w:val="36"/>
                <w:highlight w:val="none"/>
                <w:lang w:eastAsia="zh-CN"/>
              </w:rPr>
            </w:pPr>
            <w:r>
              <w:rPr>
                <w:rFonts w:hint="eastAsia" w:ascii="宋体" w:hAnsi="宋体" w:cs="仿宋_GB2312"/>
                <w:b/>
                <w:bCs/>
                <w:sz w:val="36"/>
                <w:szCs w:val="36"/>
                <w:highlight w:val="none"/>
                <w:lang w:eastAsia="zh-CN"/>
              </w:rPr>
              <w:t>武汉商学院</w:t>
            </w:r>
            <w:r>
              <w:rPr>
                <w:rFonts w:hint="eastAsia" w:ascii="宋体" w:hAnsi="宋体" w:cs="仿宋_GB2312"/>
                <w:b/>
                <w:bCs/>
                <w:sz w:val="36"/>
                <w:szCs w:val="36"/>
                <w:highlight w:val="none"/>
                <w:lang w:val="en-US" w:eastAsia="zh-CN"/>
              </w:rPr>
              <w:t>办公室搬迁服务采购</w:t>
            </w:r>
          </w:p>
        </w:tc>
      </w:tr>
      <w:tr w14:paraId="29959A02">
        <w:tblPrEx>
          <w:tblCellMar>
            <w:top w:w="0" w:type="dxa"/>
            <w:left w:w="108" w:type="dxa"/>
            <w:bottom w:w="0" w:type="dxa"/>
            <w:right w:w="108" w:type="dxa"/>
          </w:tblCellMar>
        </w:tblPrEx>
        <w:trPr>
          <w:trHeight w:val="624" w:hRule="atLeast"/>
        </w:trPr>
        <w:tc>
          <w:tcPr>
            <w:tcW w:w="5000" w:type="pct"/>
            <w:gridSpan w:val="2"/>
            <w:tcBorders>
              <w:top w:val="threeDEngrave" w:color="auto" w:sz="24" w:space="0"/>
              <w:left w:val="nil"/>
              <w:bottom w:val="nil"/>
              <w:right w:val="nil"/>
            </w:tcBorders>
            <w:noWrap w:val="0"/>
            <w:vAlign w:val="center"/>
          </w:tcPr>
          <w:p w14:paraId="4E3B21D4">
            <w:pPr>
              <w:wordWrap w:val="0"/>
              <w:adjustRightInd w:val="0"/>
              <w:snapToGrid w:val="0"/>
              <w:jc w:val="right"/>
              <w:rPr>
                <w:rFonts w:hint="eastAsia" w:ascii="宋体" w:hAnsi="宋体" w:eastAsia="宋体"/>
                <w:b/>
                <w:sz w:val="30"/>
                <w:szCs w:val="30"/>
                <w:highlight w:val="none"/>
                <w:lang w:eastAsia="zh-CN"/>
              </w:rPr>
            </w:pPr>
          </w:p>
        </w:tc>
      </w:tr>
      <w:tr w14:paraId="34D909E8">
        <w:tblPrEx>
          <w:tblCellMar>
            <w:top w:w="0" w:type="dxa"/>
            <w:left w:w="108" w:type="dxa"/>
            <w:bottom w:w="0" w:type="dxa"/>
            <w:right w:w="108" w:type="dxa"/>
          </w:tblCellMar>
        </w:tblPrEx>
        <w:trPr>
          <w:trHeight w:val="624" w:hRule="atLeast"/>
        </w:trPr>
        <w:tc>
          <w:tcPr>
            <w:tcW w:w="5000" w:type="pct"/>
            <w:gridSpan w:val="2"/>
            <w:noWrap w:val="0"/>
            <w:vAlign w:val="top"/>
          </w:tcPr>
          <w:p w14:paraId="65D3749D">
            <w:pPr>
              <w:adjustRightInd w:val="0"/>
              <w:snapToGrid w:val="0"/>
              <w:rPr>
                <w:rFonts w:ascii="宋体" w:hAnsi="宋体"/>
                <w:sz w:val="30"/>
                <w:szCs w:val="30"/>
                <w:highlight w:val="none"/>
              </w:rPr>
            </w:pPr>
          </w:p>
        </w:tc>
      </w:tr>
      <w:tr w14:paraId="56B3B512">
        <w:tblPrEx>
          <w:tblCellMar>
            <w:top w:w="0" w:type="dxa"/>
            <w:left w:w="108" w:type="dxa"/>
            <w:bottom w:w="0" w:type="dxa"/>
            <w:right w:w="108" w:type="dxa"/>
          </w:tblCellMar>
        </w:tblPrEx>
        <w:trPr>
          <w:trHeight w:val="624" w:hRule="atLeast"/>
        </w:trPr>
        <w:tc>
          <w:tcPr>
            <w:tcW w:w="5000" w:type="pct"/>
            <w:gridSpan w:val="2"/>
            <w:noWrap w:val="0"/>
            <w:vAlign w:val="top"/>
          </w:tcPr>
          <w:p w14:paraId="112E9D67">
            <w:pPr>
              <w:adjustRightInd w:val="0"/>
              <w:snapToGrid w:val="0"/>
              <w:rPr>
                <w:rFonts w:ascii="宋体" w:hAnsi="宋体"/>
                <w:sz w:val="30"/>
                <w:szCs w:val="30"/>
                <w:highlight w:val="none"/>
              </w:rPr>
            </w:pPr>
          </w:p>
          <w:p w14:paraId="7175A9BD">
            <w:pPr>
              <w:pStyle w:val="4"/>
              <w:outlineLvl w:val="1"/>
              <w:rPr>
                <w:rFonts w:hint="eastAsia" w:ascii="宋体" w:hAnsi="宋体" w:eastAsia="宋体"/>
                <w:highlight w:val="none"/>
              </w:rPr>
            </w:pPr>
          </w:p>
        </w:tc>
      </w:tr>
      <w:tr w14:paraId="4CC13F50">
        <w:tblPrEx>
          <w:tblCellMar>
            <w:top w:w="0" w:type="dxa"/>
            <w:left w:w="108" w:type="dxa"/>
            <w:bottom w:w="0" w:type="dxa"/>
            <w:right w:w="108" w:type="dxa"/>
          </w:tblCellMar>
        </w:tblPrEx>
        <w:trPr>
          <w:trHeight w:val="624" w:hRule="atLeast"/>
        </w:trPr>
        <w:tc>
          <w:tcPr>
            <w:tcW w:w="5000" w:type="pct"/>
            <w:gridSpan w:val="2"/>
            <w:noWrap w:val="0"/>
            <w:vAlign w:val="center"/>
          </w:tcPr>
          <w:p w14:paraId="2BAA5F9B">
            <w:pPr>
              <w:adjustRightInd w:val="0"/>
              <w:snapToGrid w:val="0"/>
              <w:jc w:val="center"/>
              <w:rPr>
                <w:rFonts w:ascii="微软雅黑" w:hAnsi="微软雅黑" w:eastAsia="微软雅黑"/>
                <w:sz w:val="32"/>
                <w:szCs w:val="32"/>
                <w:highlight w:val="none"/>
              </w:rPr>
            </w:pPr>
            <w:r>
              <w:rPr>
                <w:rFonts w:hint="eastAsia" w:ascii="微软雅黑" w:hAnsi="微软雅黑" w:eastAsia="微软雅黑"/>
                <w:b/>
                <w:bCs/>
                <w:sz w:val="96"/>
                <w:szCs w:val="96"/>
                <w:highlight w:val="none"/>
                <w:lang w:val="en-US" w:eastAsia="zh-CN"/>
              </w:rPr>
              <w:t>采购</w:t>
            </w:r>
            <w:r>
              <w:rPr>
                <w:rFonts w:hint="eastAsia" w:ascii="微软雅黑" w:hAnsi="微软雅黑" w:eastAsia="微软雅黑"/>
                <w:b/>
                <w:bCs/>
                <w:sz w:val="96"/>
                <w:szCs w:val="96"/>
                <w:highlight w:val="none"/>
              </w:rPr>
              <w:t>文件</w:t>
            </w:r>
          </w:p>
        </w:tc>
      </w:tr>
      <w:tr w14:paraId="634D01E6">
        <w:tblPrEx>
          <w:tblCellMar>
            <w:top w:w="0" w:type="dxa"/>
            <w:left w:w="108" w:type="dxa"/>
            <w:bottom w:w="0" w:type="dxa"/>
            <w:right w:w="108" w:type="dxa"/>
          </w:tblCellMar>
        </w:tblPrEx>
        <w:trPr>
          <w:trHeight w:val="624" w:hRule="atLeast"/>
        </w:trPr>
        <w:tc>
          <w:tcPr>
            <w:tcW w:w="5000" w:type="pct"/>
            <w:gridSpan w:val="2"/>
            <w:noWrap w:val="0"/>
            <w:vAlign w:val="center"/>
          </w:tcPr>
          <w:p w14:paraId="5827454F">
            <w:pPr>
              <w:adjustRightInd w:val="0"/>
              <w:snapToGrid w:val="0"/>
              <w:rPr>
                <w:rFonts w:ascii="宋体" w:hAnsi="宋体"/>
                <w:sz w:val="32"/>
                <w:szCs w:val="32"/>
                <w:highlight w:val="none"/>
              </w:rPr>
            </w:pPr>
          </w:p>
        </w:tc>
      </w:tr>
      <w:tr w14:paraId="66B7C786">
        <w:tblPrEx>
          <w:tblCellMar>
            <w:top w:w="0" w:type="dxa"/>
            <w:left w:w="108" w:type="dxa"/>
            <w:bottom w:w="0" w:type="dxa"/>
            <w:right w:w="108" w:type="dxa"/>
          </w:tblCellMar>
        </w:tblPrEx>
        <w:trPr>
          <w:trHeight w:val="624" w:hRule="atLeast"/>
        </w:trPr>
        <w:tc>
          <w:tcPr>
            <w:tcW w:w="5000" w:type="pct"/>
            <w:gridSpan w:val="2"/>
            <w:noWrap w:val="0"/>
            <w:vAlign w:val="center"/>
          </w:tcPr>
          <w:p w14:paraId="36D061BC">
            <w:pPr>
              <w:adjustRightInd w:val="0"/>
              <w:snapToGrid w:val="0"/>
              <w:rPr>
                <w:rFonts w:ascii="宋体" w:hAnsi="宋体"/>
                <w:sz w:val="32"/>
                <w:szCs w:val="32"/>
                <w:highlight w:val="none"/>
              </w:rPr>
            </w:pPr>
          </w:p>
        </w:tc>
      </w:tr>
      <w:tr w14:paraId="7B46A361">
        <w:trPr>
          <w:trHeight w:val="624" w:hRule="atLeast"/>
        </w:trPr>
        <w:tc>
          <w:tcPr>
            <w:tcW w:w="5000" w:type="pct"/>
            <w:gridSpan w:val="2"/>
            <w:noWrap w:val="0"/>
            <w:vAlign w:val="top"/>
          </w:tcPr>
          <w:p w14:paraId="2814FF83">
            <w:pPr>
              <w:adjustRightInd w:val="0"/>
              <w:snapToGrid w:val="0"/>
              <w:rPr>
                <w:rFonts w:ascii="宋体" w:hAnsi="宋体"/>
                <w:sz w:val="30"/>
                <w:szCs w:val="30"/>
                <w:highlight w:val="none"/>
              </w:rPr>
            </w:pPr>
          </w:p>
        </w:tc>
      </w:tr>
      <w:tr w14:paraId="19388490">
        <w:tblPrEx>
          <w:tblCellMar>
            <w:top w:w="0" w:type="dxa"/>
            <w:left w:w="108" w:type="dxa"/>
            <w:bottom w:w="0" w:type="dxa"/>
            <w:right w:w="108" w:type="dxa"/>
          </w:tblCellMar>
        </w:tblPrEx>
        <w:trPr>
          <w:trHeight w:val="624" w:hRule="atLeast"/>
        </w:trPr>
        <w:tc>
          <w:tcPr>
            <w:tcW w:w="5000" w:type="pct"/>
            <w:gridSpan w:val="2"/>
            <w:noWrap w:val="0"/>
            <w:vAlign w:val="top"/>
          </w:tcPr>
          <w:p w14:paraId="0AB2F3A5">
            <w:pPr>
              <w:adjustRightInd w:val="0"/>
              <w:snapToGrid w:val="0"/>
              <w:rPr>
                <w:rFonts w:ascii="宋体" w:hAnsi="宋体"/>
                <w:sz w:val="30"/>
                <w:szCs w:val="30"/>
                <w:highlight w:val="none"/>
              </w:rPr>
            </w:pPr>
          </w:p>
        </w:tc>
      </w:tr>
      <w:tr w14:paraId="73C54D3F">
        <w:tblPrEx>
          <w:tblCellMar>
            <w:top w:w="0" w:type="dxa"/>
            <w:left w:w="108" w:type="dxa"/>
            <w:bottom w:w="0" w:type="dxa"/>
            <w:right w:w="108" w:type="dxa"/>
          </w:tblCellMar>
        </w:tblPrEx>
        <w:trPr>
          <w:trHeight w:val="624" w:hRule="atLeast"/>
        </w:trPr>
        <w:tc>
          <w:tcPr>
            <w:tcW w:w="5000" w:type="pct"/>
            <w:gridSpan w:val="2"/>
            <w:noWrap w:val="0"/>
            <w:vAlign w:val="top"/>
          </w:tcPr>
          <w:p w14:paraId="48E6AD12">
            <w:pPr>
              <w:adjustRightInd w:val="0"/>
              <w:snapToGrid w:val="0"/>
              <w:rPr>
                <w:rFonts w:ascii="宋体" w:hAnsi="宋体"/>
                <w:sz w:val="30"/>
                <w:szCs w:val="30"/>
                <w:highlight w:val="none"/>
              </w:rPr>
            </w:pPr>
          </w:p>
        </w:tc>
      </w:tr>
      <w:tr w14:paraId="34020FAA">
        <w:tblPrEx>
          <w:tblCellMar>
            <w:top w:w="0" w:type="dxa"/>
            <w:left w:w="108" w:type="dxa"/>
            <w:bottom w:w="0" w:type="dxa"/>
            <w:right w:w="108" w:type="dxa"/>
          </w:tblCellMar>
        </w:tblPrEx>
        <w:trPr>
          <w:trHeight w:val="624" w:hRule="atLeast"/>
        </w:trPr>
        <w:tc>
          <w:tcPr>
            <w:tcW w:w="5000" w:type="pct"/>
            <w:gridSpan w:val="2"/>
            <w:noWrap w:val="0"/>
            <w:vAlign w:val="center"/>
          </w:tcPr>
          <w:p w14:paraId="6EE19DE5">
            <w:pPr>
              <w:adjustRightInd w:val="0"/>
              <w:snapToGrid w:val="0"/>
              <w:rPr>
                <w:rFonts w:hint="default" w:ascii="宋体" w:hAnsi="宋体" w:eastAsia="宋体" w:cs="仿宋_GB2312"/>
                <w:b/>
                <w:sz w:val="30"/>
                <w:szCs w:val="30"/>
                <w:highlight w:val="none"/>
                <w:lang w:val="en-US" w:eastAsia="zh-CN"/>
              </w:rPr>
            </w:pPr>
            <w:r>
              <w:rPr>
                <w:rFonts w:hint="eastAsia" w:ascii="宋体" w:hAnsi="宋体" w:cs="仿宋_GB2312"/>
                <w:b/>
                <w:sz w:val="28"/>
                <w:szCs w:val="28"/>
                <w:highlight w:val="none"/>
              </w:rPr>
              <w:t>采购人：武汉商学院</w:t>
            </w:r>
            <w:r>
              <w:rPr>
                <w:rFonts w:hint="eastAsia" w:ascii="宋体" w:hAnsi="宋体" w:cs="仿宋_GB2312"/>
                <w:b/>
                <w:sz w:val="28"/>
                <w:szCs w:val="28"/>
                <w:highlight w:val="none"/>
                <w:lang w:val="en-US" w:eastAsia="zh-CN"/>
              </w:rPr>
              <w:t>后勤与基建管理处</w:t>
            </w:r>
          </w:p>
        </w:tc>
      </w:tr>
      <w:tr w14:paraId="44D9CFC3">
        <w:tblPrEx>
          <w:tblCellMar>
            <w:top w:w="0" w:type="dxa"/>
            <w:left w:w="108" w:type="dxa"/>
            <w:bottom w:w="0" w:type="dxa"/>
            <w:right w:w="108" w:type="dxa"/>
          </w:tblCellMar>
        </w:tblPrEx>
        <w:trPr>
          <w:trHeight w:val="624" w:hRule="atLeast"/>
        </w:trPr>
        <w:tc>
          <w:tcPr>
            <w:tcW w:w="5000" w:type="pct"/>
            <w:gridSpan w:val="2"/>
            <w:noWrap w:val="0"/>
            <w:vAlign w:val="center"/>
          </w:tcPr>
          <w:p w14:paraId="3A8C37B1">
            <w:pPr>
              <w:adjustRightInd w:val="0"/>
              <w:snapToGrid w:val="0"/>
              <w:rPr>
                <w:rFonts w:ascii="宋体" w:hAnsi="宋体" w:cs="仿宋_GB2312"/>
                <w:b/>
                <w:sz w:val="32"/>
                <w:szCs w:val="32"/>
                <w:highlight w:val="none"/>
              </w:rPr>
            </w:pPr>
            <w:r>
              <w:rPr>
                <w:rFonts w:hint="eastAsia" w:ascii="宋体" w:hAnsi="宋体" w:cs="仿宋_GB2312"/>
                <w:b/>
                <w:sz w:val="28"/>
                <w:szCs w:val="28"/>
                <w:highlight w:val="none"/>
              </w:rPr>
              <w:t>日期：2025年</w:t>
            </w:r>
            <w:r>
              <w:rPr>
                <w:rFonts w:hint="eastAsia" w:ascii="宋体" w:hAnsi="宋体" w:cs="仿宋_GB2312"/>
                <w:b/>
                <w:sz w:val="28"/>
                <w:szCs w:val="28"/>
                <w:highlight w:val="none"/>
                <w:lang w:val="en-US" w:eastAsia="zh-CN"/>
              </w:rPr>
              <w:t>7</w:t>
            </w:r>
            <w:r>
              <w:rPr>
                <w:rFonts w:hint="eastAsia" w:ascii="宋体" w:hAnsi="宋体" w:cs="仿宋_GB2312"/>
                <w:b/>
                <w:sz w:val="28"/>
                <w:szCs w:val="28"/>
                <w:highlight w:val="none"/>
              </w:rPr>
              <w:t>月</w:t>
            </w:r>
          </w:p>
        </w:tc>
      </w:tr>
    </w:tbl>
    <w:p w14:paraId="76DC9243">
      <w:pPr>
        <w:jc w:val="center"/>
        <w:rPr>
          <w:rFonts w:ascii="宋体" w:hAnsi="宋体"/>
          <w:b/>
          <w:sz w:val="44"/>
          <w:highlight w:val="none"/>
        </w:rPr>
        <w:sectPr>
          <w:headerReference r:id="rId4" w:type="first"/>
          <w:headerReference r:id="rId3" w:type="default"/>
          <w:footerReference r:id="rId5" w:type="default"/>
          <w:footerReference r:id="rId6" w:type="even"/>
          <w:pgSz w:w="11905" w:h="16840"/>
          <w:pgMar w:top="1440" w:right="1797" w:bottom="1440" w:left="1797" w:header="851" w:footer="1050" w:gutter="0"/>
          <w:cols w:space="720" w:num="1"/>
          <w:docGrid w:linePitch="312" w:charSpace="0"/>
        </w:sectPr>
      </w:pPr>
    </w:p>
    <w:p w14:paraId="6D699EB7">
      <w:pPr>
        <w:spacing w:line="312" w:lineRule="auto"/>
        <w:jc w:val="center"/>
        <w:rPr>
          <w:rFonts w:ascii="微软雅黑" w:hAnsi="微软雅黑" w:eastAsia="微软雅黑" w:cs="微软雅黑"/>
          <w:b/>
          <w:bCs/>
          <w:kern w:val="44"/>
          <w:sz w:val="32"/>
          <w:szCs w:val="32"/>
          <w:highlight w:val="none"/>
        </w:rPr>
      </w:pPr>
      <w:r>
        <w:rPr>
          <w:rFonts w:hint="eastAsia" w:ascii="微软雅黑" w:hAnsi="微软雅黑" w:eastAsia="微软雅黑" w:cs="微软雅黑"/>
          <w:b/>
          <w:bCs/>
          <w:kern w:val="44"/>
          <w:sz w:val="32"/>
          <w:szCs w:val="32"/>
          <w:highlight w:val="none"/>
        </w:rPr>
        <w:t xml:space="preserve">目   </w:t>
      </w:r>
      <w:r>
        <w:rPr>
          <w:rFonts w:ascii="微软雅黑" w:hAnsi="微软雅黑" w:eastAsia="微软雅黑" w:cs="微软雅黑"/>
          <w:b/>
          <w:bCs/>
          <w:kern w:val="44"/>
          <w:sz w:val="32"/>
          <w:szCs w:val="32"/>
          <w:highlight w:val="none"/>
        </w:rPr>
        <w:t>录</w:t>
      </w:r>
    </w:p>
    <w:p w14:paraId="28F1CF21">
      <w:pPr>
        <w:pStyle w:val="8"/>
        <w:tabs>
          <w:tab w:val="right" w:leader="dot" w:pos="8311"/>
        </w:tabs>
        <w:rPr>
          <w:highlight w:val="none"/>
        </w:rPr>
      </w:pPr>
      <w:r>
        <w:rPr>
          <w:rFonts w:hint="eastAsia" w:ascii="宋体" w:hAnsi="宋体" w:cs="仿宋"/>
          <w:b w:val="0"/>
          <w:sz w:val="21"/>
          <w:szCs w:val="21"/>
          <w:highlight w:val="none"/>
        </w:rPr>
        <w:fldChar w:fldCharType="begin"/>
      </w:r>
      <w:r>
        <w:rPr>
          <w:rFonts w:hint="eastAsia" w:ascii="宋体" w:hAnsi="宋体" w:cs="仿宋"/>
          <w:b w:val="0"/>
          <w:sz w:val="21"/>
          <w:szCs w:val="21"/>
          <w:highlight w:val="none"/>
        </w:rPr>
        <w:instrText xml:space="preserve"> TOC \o "1-3" \h \z \u </w:instrText>
      </w:r>
      <w:r>
        <w:rPr>
          <w:rFonts w:hint="eastAsia" w:ascii="宋体" w:hAnsi="宋体" w:cs="仿宋"/>
          <w:b w:val="0"/>
          <w:sz w:val="21"/>
          <w:szCs w:val="21"/>
          <w:highlight w:val="none"/>
        </w:rPr>
        <w:fldChar w:fldCharType="separate"/>
      </w:r>
      <w:r>
        <w:rPr>
          <w:rFonts w:hint="eastAsia" w:ascii="宋体" w:hAnsi="宋体" w:cs="仿宋"/>
          <w:szCs w:val="21"/>
          <w:highlight w:val="none"/>
        </w:rPr>
        <w:fldChar w:fldCharType="begin"/>
      </w:r>
      <w:r>
        <w:rPr>
          <w:rFonts w:hint="eastAsia" w:ascii="宋体" w:hAnsi="宋体" w:cs="仿宋"/>
          <w:szCs w:val="21"/>
          <w:highlight w:val="none"/>
        </w:rPr>
        <w:instrText xml:space="preserve"> HYPERLINK \l _Toc1759 </w:instrText>
      </w:r>
      <w:r>
        <w:rPr>
          <w:rFonts w:hint="eastAsia" w:ascii="宋体" w:hAnsi="宋体" w:cs="仿宋"/>
          <w:szCs w:val="21"/>
          <w:highlight w:val="none"/>
        </w:rPr>
        <w:fldChar w:fldCharType="separate"/>
      </w:r>
      <w:r>
        <w:rPr>
          <w:rFonts w:ascii="微软雅黑" w:hAnsi="微软雅黑" w:eastAsia="微软雅黑" w:cs="微软雅黑"/>
          <w:bCs/>
          <w:kern w:val="44"/>
          <w:szCs w:val="32"/>
          <w:highlight w:val="none"/>
        </w:rPr>
        <w:t>第一章 遴选公告</w:t>
      </w:r>
      <w:r>
        <w:rPr>
          <w:highlight w:val="none"/>
        </w:rPr>
        <w:tab/>
      </w:r>
      <w:r>
        <w:rPr>
          <w:highlight w:val="none"/>
        </w:rPr>
        <w:fldChar w:fldCharType="begin"/>
      </w:r>
      <w:r>
        <w:rPr>
          <w:highlight w:val="none"/>
        </w:rPr>
        <w:instrText xml:space="preserve"> PAGEREF _Toc1759 \h </w:instrText>
      </w:r>
      <w:r>
        <w:rPr>
          <w:highlight w:val="none"/>
        </w:rPr>
        <w:fldChar w:fldCharType="separate"/>
      </w:r>
      <w:r>
        <w:rPr>
          <w:highlight w:val="none"/>
        </w:rPr>
        <w:t>1</w:t>
      </w:r>
      <w:r>
        <w:rPr>
          <w:highlight w:val="none"/>
        </w:rPr>
        <w:fldChar w:fldCharType="end"/>
      </w:r>
      <w:r>
        <w:rPr>
          <w:rFonts w:hint="eastAsia" w:ascii="宋体" w:hAnsi="宋体" w:cs="仿宋"/>
          <w:szCs w:val="21"/>
          <w:highlight w:val="none"/>
        </w:rPr>
        <w:fldChar w:fldCharType="end"/>
      </w:r>
    </w:p>
    <w:p w14:paraId="7C3CDDE7">
      <w:pPr>
        <w:pStyle w:val="9"/>
        <w:tabs>
          <w:tab w:val="right" w:leader="dot" w:pos="8311"/>
        </w:tabs>
        <w:rPr>
          <w:highlight w:val="none"/>
        </w:rPr>
      </w:pPr>
      <w:r>
        <w:rPr>
          <w:rFonts w:hint="eastAsia" w:ascii="宋体" w:hAnsi="宋体" w:cs="仿宋"/>
          <w:bCs/>
          <w:szCs w:val="21"/>
          <w:highlight w:val="none"/>
        </w:rPr>
        <w:fldChar w:fldCharType="begin"/>
      </w:r>
      <w:r>
        <w:rPr>
          <w:rFonts w:hint="eastAsia" w:ascii="宋体" w:hAnsi="宋体" w:cs="仿宋"/>
          <w:bCs/>
          <w:szCs w:val="21"/>
          <w:highlight w:val="none"/>
        </w:rPr>
        <w:instrText xml:space="preserve"> HYPERLINK \l _Toc8871 </w:instrText>
      </w:r>
      <w:r>
        <w:rPr>
          <w:rFonts w:hint="eastAsia" w:ascii="宋体" w:hAnsi="宋体" w:cs="仿宋"/>
          <w:bCs/>
          <w:szCs w:val="21"/>
          <w:highlight w:val="none"/>
        </w:rPr>
        <w:fldChar w:fldCharType="separate"/>
      </w:r>
      <w:r>
        <w:rPr>
          <w:rFonts w:hint="eastAsia" w:ascii="宋体" w:hAnsi="宋体" w:eastAsia="宋体" w:cs="仿宋_GB2312"/>
          <w:kern w:val="2"/>
          <w:szCs w:val="24"/>
          <w:highlight w:val="none"/>
        </w:rPr>
        <w:t>一、项目基本情况</w:t>
      </w:r>
      <w:r>
        <w:rPr>
          <w:highlight w:val="none"/>
        </w:rPr>
        <w:tab/>
      </w:r>
      <w:r>
        <w:rPr>
          <w:highlight w:val="none"/>
        </w:rPr>
        <w:fldChar w:fldCharType="begin"/>
      </w:r>
      <w:r>
        <w:rPr>
          <w:highlight w:val="none"/>
        </w:rPr>
        <w:instrText xml:space="preserve"> PAGEREF _Toc8871 \h </w:instrText>
      </w:r>
      <w:r>
        <w:rPr>
          <w:highlight w:val="none"/>
        </w:rPr>
        <w:fldChar w:fldCharType="separate"/>
      </w:r>
      <w:r>
        <w:rPr>
          <w:highlight w:val="none"/>
        </w:rPr>
        <w:t>1</w:t>
      </w:r>
      <w:r>
        <w:rPr>
          <w:highlight w:val="none"/>
        </w:rPr>
        <w:fldChar w:fldCharType="end"/>
      </w:r>
      <w:r>
        <w:rPr>
          <w:rFonts w:hint="eastAsia" w:ascii="宋体" w:hAnsi="宋体" w:cs="仿宋"/>
          <w:bCs/>
          <w:szCs w:val="21"/>
          <w:highlight w:val="none"/>
        </w:rPr>
        <w:fldChar w:fldCharType="end"/>
      </w:r>
    </w:p>
    <w:p w14:paraId="5193FDAF">
      <w:pPr>
        <w:pStyle w:val="9"/>
        <w:tabs>
          <w:tab w:val="right" w:leader="dot" w:pos="8311"/>
        </w:tabs>
        <w:rPr>
          <w:highlight w:val="none"/>
        </w:rPr>
      </w:pPr>
      <w:r>
        <w:rPr>
          <w:rFonts w:hint="eastAsia" w:ascii="宋体" w:hAnsi="宋体" w:cs="仿宋"/>
          <w:bCs/>
          <w:szCs w:val="21"/>
          <w:highlight w:val="none"/>
        </w:rPr>
        <w:fldChar w:fldCharType="begin"/>
      </w:r>
      <w:r>
        <w:rPr>
          <w:rFonts w:hint="eastAsia" w:ascii="宋体" w:hAnsi="宋体" w:cs="仿宋"/>
          <w:bCs/>
          <w:szCs w:val="21"/>
          <w:highlight w:val="none"/>
        </w:rPr>
        <w:instrText xml:space="preserve"> HYPERLINK \l _Toc15124 </w:instrText>
      </w:r>
      <w:r>
        <w:rPr>
          <w:rFonts w:hint="eastAsia" w:ascii="宋体" w:hAnsi="宋体" w:cs="仿宋"/>
          <w:bCs/>
          <w:szCs w:val="21"/>
          <w:highlight w:val="none"/>
        </w:rPr>
        <w:fldChar w:fldCharType="separate"/>
      </w:r>
      <w:r>
        <w:rPr>
          <w:rFonts w:hint="eastAsia" w:ascii="宋体" w:hAnsi="宋体" w:eastAsia="宋体" w:cs="仿宋_GB2312"/>
          <w:kern w:val="2"/>
          <w:szCs w:val="24"/>
          <w:highlight w:val="none"/>
        </w:rPr>
        <w:t>二、申请人的资格要求</w:t>
      </w:r>
      <w:r>
        <w:rPr>
          <w:highlight w:val="none"/>
        </w:rPr>
        <w:tab/>
      </w:r>
      <w:r>
        <w:rPr>
          <w:highlight w:val="none"/>
        </w:rPr>
        <w:fldChar w:fldCharType="begin"/>
      </w:r>
      <w:r>
        <w:rPr>
          <w:highlight w:val="none"/>
        </w:rPr>
        <w:instrText xml:space="preserve"> PAGEREF _Toc15124 \h </w:instrText>
      </w:r>
      <w:r>
        <w:rPr>
          <w:highlight w:val="none"/>
        </w:rPr>
        <w:fldChar w:fldCharType="separate"/>
      </w:r>
      <w:r>
        <w:rPr>
          <w:highlight w:val="none"/>
        </w:rPr>
        <w:t>1</w:t>
      </w:r>
      <w:r>
        <w:rPr>
          <w:highlight w:val="none"/>
        </w:rPr>
        <w:fldChar w:fldCharType="end"/>
      </w:r>
      <w:r>
        <w:rPr>
          <w:rFonts w:hint="eastAsia" w:ascii="宋体" w:hAnsi="宋体" w:cs="仿宋"/>
          <w:bCs/>
          <w:szCs w:val="21"/>
          <w:highlight w:val="none"/>
        </w:rPr>
        <w:fldChar w:fldCharType="end"/>
      </w:r>
    </w:p>
    <w:p w14:paraId="01BC2B87">
      <w:pPr>
        <w:pStyle w:val="9"/>
        <w:tabs>
          <w:tab w:val="right" w:leader="dot" w:pos="8311"/>
        </w:tabs>
        <w:rPr>
          <w:highlight w:val="none"/>
        </w:rPr>
      </w:pPr>
      <w:r>
        <w:rPr>
          <w:rFonts w:hint="eastAsia" w:ascii="宋体" w:hAnsi="宋体" w:cs="仿宋"/>
          <w:bCs/>
          <w:szCs w:val="21"/>
          <w:highlight w:val="none"/>
        </w:rPr>
        <w:fldChar w:fldCharType="begin"/>
      </w:r>
      <w:r>
        <w:rPr>
          <w:rFonts w:hint="eastAsia" w:ascii="宋体" w:hAnsi="宋体" w:cs="仿宋"/>
          <w:bCs/>
          <w:szCs w:val="21"/>
          <w:highlight w:val="none"/>
        </w:rPr>
        <w:instrText xml:space="preserve"> HYPERLINK \l _Toc12658 </w:instrText>
      </w:r>
      <w:r>
        <w:rPr>
          <w:rFonts w:hint="eastAsia" w:ascii="宋体" w:hAnsi="宋体" w:cs="仿宋"/>
          <w:bCs/>
          <w:szCs w:val="21"/>
          <w:highlight w:val="none"/>
        </w:rPr>
        <w:fldChar w:fldCharType="separate"/>
      </w:r>
      <w:r>
        <w:rPr>
          <w:rFonts w:hint="eastAsia" w:ascii="宋体" w:hAnsi="宋体" w:eastAsia="宋体" w:cs="仿宋_GB2312"/>
          <w:kern w:val="2"/>
          <w:szCs w:val="24"/>
          <w:highlight w:val="none"/>
        </w:rPr>
        <w:t>三、响应文件提交</w:t>
      </w:r>
      <w:r>
        <w:rPr>
          <w:highlight w:val="none"/>
        </w:rPr>
        <w:tab/>
      </w:r>
      <w:r>
        <w:rPr>
          <w:rFonts w:hint="eastAsia"/>
          <w:highlight w:val="none"/>
          <w:lang w:val="en-US" w:eastAsia="zh-CN"/>
        </w:rPr>
        <w:t>2</w:t>
      </w:r>
      <w:r>
        <w:rPr>
          <w:rFonts w:hint="eastAsia" w:ascii="宋体" w:hAnsi="宋体" w:cs="仿宋"/>
          <w:bCs/>
          <w:szCs w:val="21"/>
          <w:highlight w:val="none"/>
        </w:rPr>
        <w:fldChar w:fldCharType="end"/>
      </w:r>
    </w:p>
    <w:p w14:paraId="4461B2CC">
      <w:pPr>
        <w:pStyle w:val="9"/>
        <w:tabs>
          <w:tab w:val="right" w:leader="dot" w:pos="8311"/>
        </w:tabs>
        <w:rPr>
          <w:highlight w:val="none"/>
        </w:rPr>
      </w:pPr>
      <w:r>
        <w:rPr>
          <w:rFonts w:hint="eastAsia" w:ascii="宋体" w:hAnsi="宋体" w:cs="仿宋"/>
          <w:bCs/>
          <w:szCs w:val="21"/>
          <w:highlight w:val="none"/>
        </w:rPr>
        <w:fldChar w:fldCharType="begin"/>
      </w:r>
      <w:r>
        <w:rPr>
          <w:rFonts w:hint="eastAsia" w:ascii="宋体" w:hAnsi="宋体" w:cs="仿宋"/>
          <w:bCs/>
          <w:szCs w:val="21"/>
          <w:highlight w:val="none"/>
        </w:rPr>
        <w:instrText xml:space="preserve"> HYPERLINK \l _Toc14531 </w:instrText>
      </w:r>
      <w:r>
        <w:rPr>
          <w:rFonts w:hint="eastAsia" w:ascii="宋体" w:hAnsi="宋体" w:cs="仿宋"/>
          <w:bCs/>
          <w:szCs w:val="21"/>
          <w:highlight w:val="none"/>
        </w:rPr>
        <w:fldChar w:fldCharType="separate"/>
      </w:r>
      <w:r>
        <w:rPr>
          <w:rFonts w:hint="eastAsia" w:ascii="宋体" w:hAnsi="宋体" w:eastAsia="宋体" w:cs="仿宋_GB2312"/>
          <w:kern w:val="2"/>
          <w:szCs w:val="24"/>
          <w:highlight w:val="none"/>
          <w:lang w:val="en-US" w:eastAsia="zh-CN"/>
        </w:rPr>
        <w:t>四</w:t>
      </w:r>
      <w:r>
        <w:rPr>
          <w:rFonts w:hint="eastAsia" w:ascii="宋体" w:hAnsi="宋体" w:eastAsia="宋体" w:cs="仿宋_GB2312"/>
          <w:kern w:val="2"/>
          <w:szCs w:val="24"/>
          <w:highlight w:val="none"/>
        </w:rPr>
        <w:t>、</w:t>
      </w:r>
      <w:r>
        <w:rPr>
          <w:rFonts w:hint="eastAsia" w:ascii="宋体" w:hAnsi="宋体" w:eastAsia="宋体" w:cs="仿宋_GB2312"/>
          <w:smallCaps/>
          <w:kern w:val="2"/>
          <w:szCs w:val="24"/>
          <w:highlight w:val="none"/>
          <w:lang w:val="en-US" w:eastAsia="zh-CN"/>
        </w:rPr>
        <w:t>供应商响应文件至少包含但不限于以下材料</w:t>
      </w:r>
      <w:r>
        <w:rPr>
          <w:highlight w:val="none"/>
        </w:rPr>
        <w:tab/>
      </w:r>
      <w:r>
        <w:rPr>
          <w:rFonts w:hint="eastAsia"/>
          <w:highlight w:val="none"/>
          <w:lang w:val="en-US" w:eastAsia="zh-CN"/>
        </w:rPr>
        <w:t>2</w:t>
      </w:r>
      <w:r>
        <w:rPr>
          <w:rFonts w:hint="eastAsia" w:ascii="宋体" w:hAnsi="宋体" w:cs="仿宋"/>
          <w:bCs/>
          <w:szCs w:val="21"/>
          <w:highlight w:val="none"/>
        </w:rPr>
        <w:fldChar w:fldCharType="end"/>
      </w:r>
    </w:p>
    <w:p w14:paraId="00DABFE0">
      <w:pPr>
        <w:pStyle w:val="8"/>
        <w:tabs>
          <w:tab w:val="right" w:leader="dot" w:pos="8311"/>
        </w:tabs>
        <w:rPr>
          <w:highlight w:val="none"/>
        </w:rPr>
      </w:pPr>
      <w:r>
        <w:rPr>
          <w:rFonts w:hint="eastAsia" w:ascii="宋体" w:hAnsi="宋体" w:cs="仿宋"/>
          <w:bCs w:val="0"/>
          <w:szCs w:val="21"/>
          <w:highlight w:val="none"/>
        </w:rPr>
        <w:fldChar w:fldCharType="begin"/>
      </w:r>
      <w:r>
        <w:rPr>
          <w:rFonts w:hint="eastAsia" w:ascii="宋体" w:hAnsi="宋体" w:cs="仿宋"/>
          <w:bCs w:val="0"/>
          <w:szCs w:val="21"/>
          <w:highlight w:val="none"/>
        </w:rPr>
        <w:instrText xml:space="preserve"> HYPERLINK \l _Toc3763 </w:instrText>
      </w:r>
      <w:r>
        <w:rPr>
          <w:rFonts w:hint="eastAsia" w:ascii="宋体" w:hAnsi="宋体" w:cs="仿宋"/>
          <w:bCs w:val="0"/>
          <w:szCs w:val="21"/>
          <w:highlight w:val="none"/>
        </w:rPr>
        <w:fldChar w:fldCharType="separate"/>
      </w:r>
      <w:r>
        <w:rPr>
          <w:rFonts w:ascii="微软雅黑" w:hAnsi="微软雅黑" w:eastAsia="微软雅黑" w:cs="微软雅黑"/>
          <w:bCs/>
          <w:kern w:val="44"/>
          <w:szCs w:val="32"/>
          <w:highlight w:val="none"/>
        </w:rPr>
        <w:t>第</w:t>
      </w:r>
      <w:r>
        <w:rPr>
          <w:rFonts w:hint="eastAsia" w:ascii="微软雅黑" w:hAnsi="微软雅黑" w:eastAsia="微软雅黑" w:cs="微软雅黑"/>
          <w:bCs/>
          <w:kern w:val="44"/>
          <w:szCs w:val="32"/>
          <w:highlight w:val="none"/>
          <w:lang w:val="en-US" w:eastAsia="zh-CN"/>
        </w:rPr>
        <w:t>二</w:t>
      </w:r>
      <w:r>
        <w:rPr>
          <w:rFonts w:ascii="微软雅黑" w:hAnsi="微软雅黑" w:eastAsia="微软雅黑" w:cs="微软雅黑"/>
          <w:bCs/>
          <w:kern w:val="44"/>
          <w:szCs w:val="32"/>
          <w:highlight w:val="none"/>
        </w:rPr>
        <w:t>章 资格审查方法及标准</w:t>
      </w:r>
      <w:r>
        <w:rPr>
          <w:highlight w:val="none"/>
        </w:rPr>
        <w:tab/>
      </w:r>
      <w:r>
        <w:rPr>
          <w:highlight w:val="none"/>
        </w:rPr>
        <w:fldChar w:fldCharType="begin"/>
      </w:r>
      <w:r>
        <w:rPr>
          <w:highlight w:val="none"/>
        </w:rPr>
        <w:instrText xml:space="preserve"> PAGEREF _Toc3763 \h </w:instrText>
      </w:r>
      <w:r>
        <w:rPr>
          <w:highlight w:val="none"/>
        </w:rPr>
        <w:fldChar w:fldCharType="separate"/>
      </w:r>
      <w:r>
        <w:rPr>
          <w:highlight w:val="none"/>
        </w:rPr>
        <w:t>3</w:t>
      </w:r>
      <w:r>
        <w:rPr>
          <w:highlight w:val="none"/>
        </w:rPr>
        <w:fldChar w:fldCharType="end"/>
      </w:r>
      <w:r>
        <w:rPr>
          <w:rFonts w:hint="eastAsia" w:ascii="宋体" w:hAnsi="宋体" w:cs="仿宋"/>
          <w:bCs w:val="0"/>
          <w:szCs w:val="21"/>
          <w:highlight w:val="none"/>
        </w:rPr>
        <w:fldChar w:fldCharType="end"/>
      </w:r>
    </w:p>
    <w:p w14:paraId="001D6654">
      <w:pPr>
        <w:pStyle w:val="9"/>
        <w:tabs>
          <w:tab w:val="right" w:leader="dot" w:pos="8311"/>
        </w:tabs>
        <w:rPr>
          <w:highlight w:val="none"/>
        </w:rPr>
      </w:pPr>
      <w:r>
        <w:rPr>
          <w:rFonts w:hint="eastAsia" w:ascii="宋体" w:hAnsi="宋体" w:cs="仿宋"/>
          <w:bCs/>
          <w:szCs w:val="21"/>
          <w:highlight w:val="none"/>
        </w:rPr>
        <w:fldChar w:fldCharType="begin"/>
      </w:r>
      <w:r>
        <w:rPr>
          <w:rFonts w:hint="eastAsia" w:ascii="宋体" w:hAnsi="宋体" w:cs="仿宋"/>
          <w:bCs/>
          <w:szCs w:val="21"/>
          <w:highlight w:val="none"/>
        </w:rPr>
        <w:instrText xml:space="preserve"> HYPERLINK \l _Toc10214 </w:instrText>
      </w:r>
      <w:r>
        <w:rPr>
          <w:rFonts w:hint="eastAsia" w:ascii="宋体" w:hAnsi="宋体" w:cs="仿宋"/>
          <w:bCs/>
          <w:szCs w:val="21"/>
          <w:highlight w:val="none"/>
        </w:rPr>
        <w:fldChar w:fldCharType="separate"/>
      </w:r>
      <w:r>
        <w:rPr>
          <w:rFonts w:hint="eastAsia" w:ascii="宋体" w:hAnsi="宋体" w:eastAsia="宋体"/>
          <w:bCs/>
          <w:szCs w:val="24"/>
          <w:highlight w:val="none"/>
          <w:lang w:val="zh-CN"/>
        </w:rPr>
        <w:t xml:space="preserve">一、 </w:t>
      </w:r>
      <w:r>
        <w:rPr>
          <w:rFonts w:hint="eastAsia" w:ascii="宋体" w:hAnsi="宋体" w:eastAsia="宋体"/>
          <w:bCs w:val="0"/>
          <w:szCs w:val="24"/>
          <w:highlight w:val="none"/>
          <w:lang w:val="zh-CN"/>
        </w:rPr>
        <w:t>资格审查方法</w:t>
      </w:r>
      <w:r>
        <w:rPr>
          <w:highlight w:val="none"/>
        </w:rPr>
        <w:tab/>
      </w:r>
      <w:r>
        <w:rPr>
          <w:highlight w:val="none"/>
        </w:rPr>
        <w:fldChar w:fldCharType="begin"/>
      </w:r>
      <w:r>
        <w:rPr>
          <w:highlight w:val="none"/>
        </w:rPr>
        <w:instrText xml:space="preserve"> PAGEREF _Toc10214 \h </w:instrText>
      </w:r>
      <w:r>
        <w:rPr>
          <w:highlight w:val="none"/>
        </w:rPr>
        <w:fldChar w:fldCharType="separate"/>
      </w:r>
      <w:r>
        <w:rPr>
          <w:highlight w:val="none"/>
        </w:rPr>
        <w:t>3</w:t>
      </w:r>
      <w:r>
        <w:rPr>
          <w:highlight w:val="none"/>
        </w:rPr>
        <w:fldChar w:fldCharType="end"/>
      </w:r>
      <w:r>
        <w:rPr>
          <w:rFonts w:hint="eastAsia" w:ascii="宋体" w:hAnsi="宋体" w:cs="仿宋"/>
          <w:bCs/>
          <w:szCs w:val="21"/>
          <w:highlight w:val="none"/>
        </w:rPr>
        <w:fldChar w:fldCharType="end"/>
      </w:r>
    </w:p>
    <w:p w14:paraId="4E55C193">
      <w:pPr>
        <w:pStyle w:val="9"/>
        <w:tabs>
          <w:tab w:val="right" w:leader="dot" w:pos="8311"/>
        </w:tabs>
        <w:rPr>
          <w:highlight w:val="none"/>
        </w:rPr>
      </w:pPr>
      <w:r>
        <w:rPr>
          <w:rFonts w:hint="eastAsia" w:ascii="宋体" w:hAnsi="宋体" w:cs="仿宋"/>
          <w:bCs/>
          <w:szCs w:val="21"/>
          <w:highlight w:val="none"/>
        </w:rPr>
        <w:fldChar w:fldCharType="begin"/>
      </w:r>
      <w:r>
        <w:rPr>
          <w:rFonts w:hint="eastAsia" w:ascii="宋体" w:hAnsi="宋体" w:cs="仿宋"/>
          <w:bCs/>
          <w:szCs w:val="21"/>
          <w:highlight w:val="none"/>
        </w:rPr>
        <w:instrText xml:space="preserve"> HYPERLINK \l _Toc939 </w:instrText>
      </w:r>
      <w:r>
        <w:rPr>
          <w:rFonts w:hint="eastAsia" w:ascii="宋体" w:hAnsi="宋体" w:cs="仿宋"/>
          <w:bCs/>
          <w:szCs w:val="21"/>
          <w:highlight w:val="none"/>
        </w:rPr>
        <w:fldChar w:fldCharType="separate"/>
      </w:r>
      <w:r>
        <w:rPr>
          <w:rFonts w:hint="eastAsia" w:ascii="宋体" w:hAnsi="宋体" w:eastAsia="宋体"/>
          <w:bCs/>
          <w:szCs w:val="24"/>
          <w:highlight w:val="none"/>
          <w:lang w:val="zh-CN"/>
        </w:rPr>
        <w:t xml:space="preserve">二、 </w:t>
      </w:r>
      <w:r>
        <w:rPr>
          <w:rFonts w:hint="eastAsia" w:ascii="宋体" w:hAnsi="宋体" w:eastAsia="宋体"/>
          <w:bCs w:val="0"/>
          <w:szCs w:val="24"/>
          <w:highlight w:val="none"/>
          <w:lang w:val="zh-CN"/>
        </w:rPr>
        <w:t>资格审查标准</w:t>
      </w:r>
      <w:r>
        <w:rPr>
          <w:highlight w:val="none"/>
        </w:rPr>
        <w:tab/>
      </w:r>
      <w:r>
        <w:rPr>
          <w:highlight w:val="none"/>
        </w:rPr>
        <w:fldChar w:fldCharType="begin"/>
      </w:r>
      <w:r>
        <w:rPr>
          <w:highlight w:val="none"/>
        </w:rPr>
        <w:instrText xml:space="preserve"> PAGEREF _Toc939 \h </w:instrText>
      </w:r>
      <w:r>
        <w:rPr>
          <w:highlight w:val="none"/>
        </w:rPr>
        <w:fldChar w:fldCharType="separate"/>
      </w:r>
      <w:r>
        <w:rPr>
          <w:highlight w:val="none"/>
        </w:rPr>
        <w:t>3</w:t>
      </w:r>
      <w:r>
        <w:rPr>
          <w:highlight w:val="none"/>
        </w:rPr>
        <w:fldChar w:fldCharType="end"/>
      </w:r>
      <w:r>
        <w:rPr>
          <w:rFonts w:hint="eastAsia" w:ascii="宋体" w:hAnsi="宋体" w:cs="仿宋"/>
          <w:bCs/>
          <w:szCs w:val="21"/>
          <w:highlight w:val="none"/>
        </w:rPr>
        <w:fldChar w:fldCharType="end"/>
      </w:r>
    </w:p>
    <w:p w14:paraId="3A0B6854">
      <w:pPr>
        <w:pStyle w:val="8"/>
        <w:tabs>
          <w:tab w:val="right" w:leader="dot" w:pos="8311"/>
        </w:tabs>
        <w:rPr>
          <w:highlight w:val="none"/>
        </w:rPr>
      </w:pPr>
      <w:r>
        <w:rPr>
          <w:rFonts w:hint="eastAsia" w:ascii="宋体" w:hAnsi="宋体" w:cs="仿宋"/>
          <w:bCs w:val="0"/>
          <w:szCs w:val="21"/>
          <w:highlight w:val="none"/>
        </w:rPr>
        <w:fldChar w:fldCharType="begin"/>
      </w:r>
      <w:r>
        <w:rPr>
          <w:rFonts w:hint="eastAsia" w:ascii="宋体" w:hAnsi="宋体" w:cs="仿宋"/>
          <w:bCs w:val="0"/>
          <w:szCs w:val="21"/>
          <w:highlight w:val="none"/>
        </w:rPr>
        <w:instrText xml:space="preserve"> HYPERLINK \l _Toc17204 </w:instrText>
      </w:r>
      <w:r>
        <w:rPr>
          <w:rFonts w:hint="eastAsia" w:ascii="宋体" w:hAnsi="宋体" w:cs="仿宋"/>
          <w:bCs w:val="0"/>
          <w:szCs w:val="21"/>
          <w:highlight w:val="none"/>
        </w:rPr>
        <w:fldChar w:fldCharType="separate"/>
      </w:r>
      <w:r>
        <w:rPr>
          <w:rFonts w:ascii="微软雅黑" w:hAnsi="微软雅黑" w:eastAsia="微软雅黑" w:cs="微软雅黑"/>
          <w:bCs/>
          <w:kern w:val="44"/>
          <w:szCs w:val="32"/>
          <w:highlight w:val="none"/>
        </w:rPr>
        <w:t>第</w:t>
      </w:r>
      <w:r>
        <w:rPr>
          <w:rFonts w:hint="eastAsia" w:ascii="微软雅黑" w:hAnsi="微软雅黑" w:eastAsia="微软雅黑" w:cs="微软雅黑"/>
          <w:bCs/>
          <w:kern w:val="44"/>
          <w:szCs w:val="32"/>
          <w:highlight w:val="none"/>
          <w:lang w:val="en-US" w:eastAsia="zh-CN"/>
        </w:rPr>
        <w:t>三</w:t>
      </w:r>
      <w:r>
        <w:rPr>
          <w:rFonts w:ascii="微软雅黑" w:hAnsi="微软雅黑" w:eastAsia="微软雅黑" w:cs="微软雅黑"/>
          <w:bCs/>
          <w:kern w:val="44"/>
          <w:szCs w:val="32"/>
          <w:highlight w:val="none"/>
        </w:rPr>
        <w:t>章 评审方法、程序及标准</w:t>
      </w:r>
      <w:r>
        <w:rPr>
          <w:highlight w:val="none"/>
        </w:rPr>
        <w:tab/>
      </w:r>
      <w:r>
        <w:rPr>
          <w:highlight w:val="none"/>
        </w:rPr>
        <w:fldChar w:fldCharType="begin"/>
      </w:r>
      <w:r>
        <w:rPr>
          <w:highlight w:val="none"/>
        </w:rPr>
        <w:instrText xml:space="preserve"> PAGEREF _Toc17204 \h </w:instrText>
      </w:r>
      <w:r>
        <w:rPr>
          <w:highlight w:val="none"/>
        </w:rPr>
        <w:fldChar w:fldCharType="separate"/>
      </w:r>
      <w:r>
        <w:rPr>
          <w:highlight w:val="none"/>
        </w:rPr>
        <w:t>4</w:t>
      </w:r>
      <w:r>
        <w:rPr>
          <w:highlight w:val="none"/>
        </w:rPr>
        <w:fldChar w:fldCharType="end"/>
      </w:r>
      <w:r>
        <w:rPr>
          <w:rFonts w:hint="eastAsia" w:ascii="宋体" w:hAnsi="宋体" w:cs="仿宋"/>
          <w:bCs w:val="0"/>
          <w:szCs w:val="21"/>
          <w:highlight w:val="none"/>
        </w:rPr>
        <w:fldChar w:fldCharType="end"/>
      </w:r>
    </w:p>
    <w:p w14:paraId="56C25925">
      <w:pPr>
        <w:adjustRightInd w:val="0"/>
        <w:snapToGrid w:val="0"/>
        <w:spacing w:line="400" w:lineRule="exact"/>
        <w:jc w:val="distribute"/>
        <w:rPr>
          <w:rFonts w:hint="eastAsia" w:ascii="宋体" w:hAnsi="宋体" w:cs="宋体"/>
          <w:bCs/>
          <w:sz w:val="21"/>
          <w:szCs w:val="21"/>
          <w:highlight w:val="none"/>
        </w:rPr>
        <w:sectPr>
          <w:headerReference r:id="rId7" w:type="default"/>
          <w:footerReference r:id="rId8" w:type="default"/>
          <w:type w:val="nextColumn"/>
          <w:pgSz w:w="11905" w:h="16840"/>
          <w:pgMar w:top="1440" w:right="1797" w:bottom="1440" w:left="1797" w:header="851" w:footer="850" w:gutter="0"/>
          <w:pgNumType w:start="1"/>
          <w:cols w:space="720" w:num="1"/>
          <w:docGrid w:linePitch="312" w:charSpace="0"/>
        </w:sectPr>
      </w:pPr>
      <w:r>
        <w:rPr>
          <w:rFonts w:hint="eastAsia" w:ascii="宋体" w:hAnsi="宋体" w:cs="仿宋"/>
          <w:bCs/>
          <w:szCs w:val="21"/>
          <w:highlight w:val="none"/>
        </w:rPr>
        <w:fldChar w:fldCharType="end"/>
      </w:r>
    </w:p>
    <w:p w14:paraId="027D381A">
      <w:pPr>
        <w:pStyle w:val="3"/>
        <w:autoSpaceDE/>
        <w:autoSpaceDN/>
        <w:adjustRightInd/>
        <w:spacing w:before="0" w:after="0" w:line="360" w:lineRule="auto"/>
        <w:rPr>
          <w:rFonts w:ascii="微软雅黑" w:hAnsi="微软雅黑" w:eastAsia="微软雅黑" w:cs="微软雅黑"/>
          <w:bCs/>
          <w:kern w:val="44"/>
          <w:sz w:val="32"/>
          <w:szCs w:val="32"/>
          <w:highlight w:val="none"/>
        </w:rPr>
      </w:pPr>
      <w:bookmarkStart w:id="0" w:name="_Toc8871"/>
      <w:r>
        <w:rPr>
          <w:rFonts w:ascii="微软雅黑" w:hAnsi="微软雅黑" w:eastAsia="微软雅黑" w:cs="微软雅黑"/>
          <w:bCs/>
          <w:kern w:val="44"/>
          <w:sz w:val="32"/>
          <w:szCs w:val="32"/>
          <w:highlight w:val="none"/>
        </w:rPr>
        <w:t xml:space="preserve">第一章 </w:t>
      </w:r>
      <w:r>
        <w:rPr>
          <w:rFonts w:hint="eastAsia" w:ascii="微软雅黑" w:hAnsi="微软雅黑" w:eastAsia="微软雅黑" w:cs="微软雅黑"/>
          <w:bCs/>
          <w:kern w:val="44"/>
          <w:sz w:val="32"/>
          <w:szCs w:val="32"/>
          <w:highlight w:val="none"/>
          <w:lang w:val="en-US" w:eastAsia="zh-CN"/>
        </w:rPr>
        <w:t>采购</w:t>
      </w:r>
      <w:r>
        <w:rPr>
          <w:rFonts w:ascii="微软雅黑" w:hAnsi="微软雅黑" w:eastAsia="微软雅黑" w:cs="微软雅黑"/>
          <w:bCs/>
          <w:kern w:val="44"/>
          <w:sz w:val="32"/>
          <w:szCs w:val="32"/>
          <w:highlight w:val="none"/>
        </w:rPr>
        <w:t>公告</w:t>
      </w:r>
    </w:p>
    <w:p w14:paraId="304960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480"/>
        <w:jc w:val="left"/>
        <w:rPr>
          <w:rFonts w:hint="default" w:ascii="Tahoma" w:hAnsi="Tahoma" w:eastAsia="Tahoma" w:cs="Tahoma"/>
          <w:color w:val="333333"/>
          <w:sz w:val="21"/>
          <w:szCs w:val="21"/>
        </w:rPr>
      </w:pPr>
      <w:r>
        <w:rPr>
          <w:rStyle w:val="12"/>
          <w:rFonts w:hint="default" w:ascii="Tahoma" w:hAnsi="Tahoma" w:eastAsia="Tahoma" w:cs="Tahoma"/>
          <w:i w:val="0"/>
          <w:iCs w:val="0"/>
          <w:caps w:val="0"/>
          <w:color w:val="333333"/>
          <w:spacing w:val="0"/>
          <w:kern w:val="0"/>
          <w:sz w:val="24"/>
          <w:szCs w:val="24"/>
          <w:lang w:val="en-US" w:eastAsia="zh-CN" w:bidi="ar"/>
        </w:rPr>
        <w:t>一、项目基本情况</w:t>
      </w:r>
    </w:p>
    <w:p w14:paraId="1813EE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480"/>
        <w:jc w:val="left"/>
        <w:rPr>
          <w:rFonts w:hint="default" w:ascii="Tahoma" w:hAnsi="Tahoma" w:eastAsia="Tahoma" w:cs="Tahoma"/>
          <w:color w:val="333333"/>
          <w:sz w:val="21"/>
          <w:szCs w:val="21"/>
          <w:lang w:val="en-US"/>
        </w:rPr>
      </w:pPr>
      <w:r>
        <w:rPr>
          <w:rFonts w:hint="default" w:ascii="Tahoma" w:hAnsi="Tahoma" w:eastAsia="Tahoma" w:cs="Tahoma"/>
          <w:i w:val="0"/>
          <w:iCs w:val="0"/>
          <w:caps w:val="0"/>
          <w:color w:val="333333"/>
          <w:spacing w:val="0"/>
          <w:kern w:val="0"/>
          <w:sz w:val="24"/>
          <w:szCs w:val="24"/>
          <w:lang w:val="en-US" w:eastAsia="zh-CN" w:bidi="ar"/>
        </w:rPr>
        <w:t>1.项目名称：</w:t>
      </w:r>
      <w:r>
        <w:rPr>
          <w:rFonts w:hint="eastAsia" w:ascii="Tahoma" w:hAnsi="Tahoma" w:eastAsia="Tahoma" w:cs="Tahoma"/>
          <w:i w:val="0"/>
          <w:iCs w:val="0"/>
          <w:caps w:val="0"/>
          <w:color w:val="333333"/>
          <w:spacing w:val="0"/>
          <w:kern w:val="0"/>
          <w:sz w:val="24"/>
          <w:szCs w:val="24"/>
          <w:lang w:val="en-US" w:eastAsia="zh-CN" w:bidi="ar"/>
        </w:rPr>
        <w:t>武汉商学院办公室搬迁项目询价公告</w:t>
      </w:r>
    </w:p>
    <w:p w14:paraId="2F2D2F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480"/>
        <w:jc w:val="left"/>
        <w:rPr>
          <w:rFonts w:hint="default" w:ascii="Tahoma" w:hAnsi="Tahoma" w:eastAsia="Tahoma" w:cs="Tahoma"/>
          <w:color w:val="333333"/>
          <w:sz w:val="21"/>
          <w:szCs w:val="21"/>
        </w:rPr>
      </w:pPr>
      <w:r>
        <w:rPr>
          <w:rFonts w:hint="default" w:ascii="Tahoma" w:hAnsi="Tahoma" w:eastAsia="Tahoma" w:cs="Tahoma"/>
          <w:i w:val="0"/>
          <w:iCs w:val="0"/>
          <w:caps w:val="0"/>
          <w:color w:val="333333"/>
          <w:spacing w:val="0"/>
          <w:kern w:val="0"/>
          <w:sz w:val="24"/>
          <w:szCs w:val="24"/>
          <w:lang w:val="en-US" w:eastAsia="zh-CN" w:bidi="ar"/>
        </w:rPr>
        <w:t>2.采购方式：询价</w:t>
      </w:r>
    </w:p>
    <w:p w14:paraId="2A053C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480"/>
        <w:jc w:val="left"/>
        <w:rPr>
          <w:rFonts w:hint="default" w:ascii="Tahoma" w:hAnsi="Tahoma" w:eastAsia="Tahoma" w:cs="Tahoma"/>
          <w:color w:val="333333"/>
          <w:sz w:val="21"/>
          <w:szCs w:val="21"/>
        </w:rPr>
      </w:pPr>
      <w:r>
        <w:rPr>
          <w:rFonts w:hint="default" w:ascii="Tahoma" w:hAnsi="Tahoma" w:eastAsia="Tahoma" w:cs="Tahoma"/>
          <w:i w:val="0"/>
          <w:iCs w:val="0"/>
          <w:caps w:val="0"/>
          <w:color w:val="333333"/>
          <w:spacing w:val="0"/>
          <w:kern w:val="0"/>
          <w:sz w:val="24"/>
          <w:szCs w:val="24"/>
          <w:lang w:val="en-US" w:eastAsia="zh-CN" w:bidi="ar"/>
        </w:rPr>
        <w:t>3.预算金额：</w:t>
      </w:r>
      <w:r>
        <w:rPr>
          <w:rFonts w:hint="eastAsia" w:ascii="Tahoma" w:hAnsi="Tahoma" w:eastAsia="Tahoma" w:cs="Tahoma"/>
          <w:i w:val="0"/>
          <w:iCs w:val="0"/>
          <w:caps w:val="0"/>
          <w:color w:val="333333"/>
          <w:spacing w:val="0"/>
          <w:kern w:val="0"/>
          <w:sz w:val="24"/>
          <w:szCs w:val="24"/>
          <w:lang w:val="en-US" w:eastAsia="zh-CN" w:bidi="ar"/>
        </w:rPr>
        <w:t>12</w:t>
      </w:r>
      <w:r>
        <w:rPr>
          <w:rFonts w:hint="default" w:ascii="Tahoma" w:hAnsi="Tahoma" w:eastAsia="Tahoma" w:cs="Tahoma"/>
          <w:i w:val="0"/>
          <w:iCs w:val="0"/>
          <w:caps w:val="0"/>
          <w:color w:val="333333"/>
          <w:spacing w:val="0"/>
          <w:kern w:val="0"/>
          <w:sz w:val="24"/>
          <w:szCs w:val="24"/>
          <w:lang w:val="en-US" w:eastAsia="zh-CN" w:bidi="ar"/>
        </w:rPr>
        <w:t>万元</w:t>
      </w:r>
    </w:p>
    <w:p w14:paraId="056E76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480"/>
        <w:jc w:val="left"/>
        <w:rPr>
          <w:rFonts w:hint="default" w:ascii="Tahoma" w:hAnsi="Tahoma" w:eastAsia="Tahoma" w:cs="Tahoma"/>
          <w:color w:val="333333"/>
          <w:sz w:val="21"/>
          <w:szCs w:val="21"/>
        </w:rPr>
      </w:pPr>
      <w:r>
        <w:rPr>
          <w:rFonts w:hint="default" w:ascii="Tahoma" w:hAnsi="Tahoma" w:eastAsia="Tahoma" w:cs="Tahoma"/>
          <w:i w:val="0"/>
          <w:iCs w:val="0"/>
          <w:caps w:val="0"/>
          <w:color w:val="333333"/>
          <w:spacing w:val="0"/>
          <w:kern w:val="0"/>
          <w:sz w:val="24"/>
          <w:szCs w:val="24"/>
          <w:lang w:val="en-US" w:eastAsia="zh-CN" w:bidi="ar"/>
        </w:rPr>
        <w:t>4.最高限价：</w:t>
      </w:r>
      <w:r>
        <w:rPr>
          <w:rFonts w:hint="eastAsia" w:ascii="Tahoma" w:hAnsi="Tahoma" w:eastAsia="Tahoma" w:cs="Tahoma"/>
          <w:i w:val="0"/>
          <w:iCs w:val="0"/>
          <w:caps w:val="0"/>
          <w:color w:val="333333"/>
          <w:spacing w:val="0"/>
          <w:kern w:val="0"/>
          <w:sz w:val="24"/>
          <w:szCs w:val="24"/>
          <w:lang w:val="en-US" w:eastAsia="zh-CN" w:bidi="ar"/>
        </w:rPr>
        <w:t>12</w:t>
      </w:r>
      <w:r>
        <w:rPr>
          <w:rFonts w:hint="default" w:ascii="Tahoma" w:hAnsi="Tahoma" w:eastAsia="Tahoma" w:cs="Tahoma"/>
          <w:i w:val="0"/>
          <w:iCs w:val="0"/>
          <w:caps w:val="0"/>
          <w:color w:val="333333"/>
          <w:spacing w:val="0"/>
          <w:kern w:val="0"/>
          <w:sz w:val="24"/>
          <w:szCs w:val="24"/>
          <w:lang w:val="en-US" w:eastAsia="zh-CN" w:bidi="ar"/>
        </w:rPr>
        <w:t>万元</w:t>
      </w:r>
    </w:p>
    <w:p w14:paraId="28C855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480"/>
        <w:jc w:val="left"/>
        <w:rPr>
          <w:rFonts w:hint="default" w:ascii="Tahoma" w:hAnsi="Tahoma" w:eastAsia="Tahoma" w:cs="Tahoma"/>
          <w:color w:val="333333"/>
          <w:sz w:val="21"/>
          <w:szCs w:val="21"/>
        </w:rPr>
      </w:pPr>
      <w:r>
        <w:rPr>
          <w:rFonts w:hint="default" w:ascii="Tahoma" w:hAnsi="Tahoma" w:eastAsia="Tahoma" w:cs="Tahoma"/>
          <w:i w:val="0"/>
          <w:iCs w:val="0"/>
          <w:caps w:val="0"/>
          <w:color w:val="333333"/>
          <w:spacing w:val="0"/>
          <w:kern w:val="0"/>
          <w:sz w:val="24"/>
          <w:szCs w:val="24"/>
          <w:lang w:val="en-US" w:eastAsia="zh-CN" w:bidi="ar"/>
        </w:rPr>
        <w:t>5.采购需求：</w:t>
      </w:r>
      <w:r>
        <w:rPr>
          <w:rFonts w:hint="eastAsia" w:ascii="Tahoma" w:hAnsi="Tahoma" w:eastAsia="Tahoma" w:cs="Tahoma"/>
          <w:i w:val="0"/>
          <w:iCs w:val="0"/>
          <w:caps w:val="0"/>
          <w:color w:val="333333"/>
          <w:spacing w:val="0"/>
          <w:kern w:val="0"/>
          <w:sz w:val="24"/>
          <w:szCs w:val="24"/>
          <w:lang w:val="en-US" w:eastAsia="zh-CN" w:bidi="ar"/>
        </w:rPr>
        <w:t>为我校食品科技学院、旅游管理学院办公场所搬迁服务</w:t>
      </w:r>
      <w:r>
        <w:rPr>
          <w:rFonts w:hint="eastAsia" w:ascii="宋体" w:hAnsi="宋体" w:eastAsia="宋体" w:cs="宋体"/>
          <w:i w:val="0"/>
          <w:iCs w:val="0"/>
          <w:caps w:val="0"/>
          <w:color w:val="333333"/>
          <w:spacing w:val="0"/>
          <w:kern w:val="0"/>
          <w:sz w:val="24"/>
          <w:szCs w:val="24"/>
          <w:lang w:val="en-US" w:eastAsia="zh-CN" w:bidi="ar"/>
        </w:rPr>
        <w:t>。</w:t>
      </w:r>
    </w:p>
    <w:p w14:paraId="5A81D6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480"/>
        <w:jc w:val="left"/>
        <w:rPr>
          <w:rFonts w:hint="default" w:ascii="Tahoma" w:hAnsi="Tahoma" w:eastAsia="Tahoma" w:cs="Tahoma"/>
          <w:color w:val="333333"/>
          <w:sz w:val="21"/>
          <w:szCs w:val="21"/>
        </w:rPr>
      </w:pPr>
      <w:r>
        <w:rPr>
          <w:rFonts w:hint="eastAsia" w:ascii="Tahoma" w:hAnsi="Tahoma" w:eastAsia="Tahoma" w:cs="Tahoma"/>
          <w:i w:val="0"/>
          <w:iCs w:val="0"/>
          <w:caps w:val="0"/>
          <w:color w:val="333333"/>
          <w:spacing w:val="0"/>
          <w:kern w:val="0"/>
          <w:sz w:val="24"/>
          <w:szCs w:val="24"/>
          <w:lang w:val="en-US" w:eastAsia="zh-CN" w:bidi="ar"/>
        </w:rPr>
        <w:t>6</w:t>
      </w:r>
      <w:r>
        <w:rPr>
          <w:rFonts w:hint="default" w:ascii="Tahoma" w:hAnsi="Tahoma" w:eastAsia="Tahoma" w:cs="Tahoma"/>
          <w:i w:val="0"/>
          <w:iCs w:val="0"/>
          <w:caps w:val="0"/>
          <w:color w:val="333333"/>
          <w:spacing w:val="0"/>
          <w:kern w:val="0"/>
          <w:sz w:val="24"/>
          <w:szCs w:val="24"/>
          <w:lang w:val="en-US" w:eastAsia="zh-CN" w:bidi="ar"/>
        </w:rPr>
        <w:t>.</w:t>
      </w:r>
      <w:r>
        <w:rPr>
          <w:rFonts w:hint="eastAsia" w:ascii="宋体" w:hAnsi="宋体" w:eastAsia="宋体" w:cs="宋体"/>
          <w:i w:val="0"/>
          <w:iCs w:val="0"/>
          <w:caps w:val="0"/>
          <w:color w:val="333333"/>
          <w:spacing w:val="0"/>
          <w:kern w:val="0"/>
          <w:sz w:val="24"/>
          <w:szCs w:val="24"/>
          <w:lang w:val="en-US" w:eastAsia="zh-CN" w:bidi="ar"/>
        </w:rPr>
        <w:t>本项目（是/否）接受联合体投标：</w:t>
      </w:r>
      <w:r>
        <w:rPr>
          <w:rFonts w:hint="default" w:ascii="Tahoma" w:hAnsi="Tahoma" w:eastAsia="Tahoma" w:cs="Tahoma"/>
          <w:i w:val="0"/>
          <w:iCs w:val="0"/>
          <w:caps w:val="0"/>
          <w:color w:val="333333"/>
          <w:spacing w:val="0"/>
          <w:kern w:val="0"/>
          <w:sz w:val="24"/>
          <w:szCs w:val="24"/>
          <w:lang w:val="en-US" w:eastAsia="zh-CN" w:bidi="ar"/>
        </w:rPr>
        <w:t>否</w:t>
      </w:r>
    </w:p>
    <w:p w14:paraId="45FB0B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480"/>
        <w:jc w:val="left"/>
        <w:rPr>
          <w:rFonts w:hint="default" w:ascii="Tahoma" w:hAnsi="Tahoma" w:eastAsia="Tahoma" w:cs="Tahoma"/>
          <w:color w:val="333333"/>
          <w:sz w:val="21"/>
          <w:szCs w:val="21"/>
        </w:rPr>
      </w:pPr>
      <w:r>
        <w:rPr>
          <w:rStyle w:val="12"/>
          <w:rFonts w:hint="default" w:ascii="Tahoma" w:hAnsi="Tahoma" w:eastAsia="Tahoma" w:cs="Tahoma"/>
          <w:i w:val="0"/>
          <w:iCs w:val="0"/>
          <w:caps w:val="0"/>
          <w:color w:val="333333"/>
          <w:spacing w:val="0"/>
          <w:kern w:val="0"/>
          <w:sz w:val="24"/>
          <w:szCs w:val="24"/>
          <w:lang w:val="en-US" w:eastAsia="zh-CN" w:bidi="ar"/>
        </w:rPr>
        <w:t>二、申请人的资格要求</w:t>
      </w:r>
    </w:p>
    <w:p w14:paraId="38367B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480"/>
        <w:jc w:val="left"/>
        <w:rPr>
          <w:rFonts w:hint="default" w:ascii="Tahoma" w:hAnsi="Tahoma" w:eastAsia="Tahoma" w:cs="Tahoma"/>
          <w:color w:val="333333"/>
          <w:sz w:val="21"/>
          <w:szCs w:val="21"/>
        </w:rPr>
      </w:pPr>
      <w:r>
        <w:rPr>
          <w:rFonts w:hint="default" w:ascii="Tahoma" w:hAnsi="Tahoma" w:eastAsia="Tahoma" w:cs="Tahoma"/>
          <w:i w:val="0"/>
          <w:iCs w:val="0"/>
          <w:caps w:val="0"/>
          <w:color w:val="333333"/>
          <w:spacing w:val="0"/>
          <w:kern w:val="0"/>
          <w:sz w:val="24"/>
          <w:szCs w:val="24"/>
          <w:lang w:val="en-US" w:eastAsia="zh-CN" w:bidi="ar"/>
        </w:rPr>
        <w:t>1.供应商应满足以下要求：</w:t>
      </w:r>
    </w:p>
    <w:p w14:paraId="4BDBE3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480"/>
        <w:jc w:val="left"/>
        <w:rPr>
          <w:rFonts w:hint="default" w:ascii="Tahoma" w:hAnsi="Tahoma" w:eastAsia="Tahoma" w:cs="Tahoma"/>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（1）具有独立承担民事责任的能力；</w:t>
      </w:r>
    </w:p>
    <w:p w14:paraId="44AE53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480"/>
        <w:jc w:val="left"/>
        <w:rPr>
          <w:rFonts w:hint="default" w:ascii="Tahoma" w:hAnsi="Tahoma" w:eastAsia="Tahoma" w:cs="Tahoma"/>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（2）具有良好的商业信誉和健全的财务会计制度；</w:t>
      </w:r>
    </w:p>
    <w:p w14:paraId="520201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480"/>
        <w:jc w:val="left"/>
        <w:rPr>
          <w:rFonts w:hint="default" w:ascii="Tahoma" w:hAnsi="Tahoma" w:eastAsia="Tahoma" w:cs="Tahoma"/>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（3）具有履行合同所必需的设备和专业技术能力；</w:t>
      </w:r>
    </w:p>
    <w:p w14:paraId="269E08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480"/>
        <w:jc w:val="left"/>
        <w:rPr>
          <w:rFonts w:hint="default" w:ascii="Tahoma" w:hAnsi="Tahoma" w:eastAsia="Tahoma" w:cs="Tahoma"/>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（4）有依法缴纳税收和社会保障资金的良好记录；</w:t>
      </w:r>
    </w:p>
    <w:p w14:paraId="7FFC91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480"/>
        <w:jc w:val="left"/>
        <w:rPr>
          <w:rFonts w:hint="default" w:ascii="Tahoma" w:hAnsi="Tahoma" w:eastAsia="Tahoma" w:cs="Tahoma"/>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（5）参加采购活动前三年内，在经营活动中没有重大违法记录；</w:t>
      </w:r>
    </w:p>
    <w:p w14:paraId="17EFF6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480"/>
        <w:jc w:val="left"/>
        <w:rPr>
          <w:rFonts w:hint="default" w:ascii="Tahoma" w:hAnsi="Tahoma" w:eastAsia="Tahoma" w:cs="Tahoma"/>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（6）法律、行政法规规定的其他条件。</w:t>
      </w:r>
    </w:p>
    <w:p w14:paraId="340109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480"/>
        <w:jc w:val="left"/>
        <w:rPr>
          <w:rFonts w:hint="default" w:ascii="Tahoma" w:hAnsi="Tahoma" w:eastAsia="Tahoma" w:cs="Tahoma"/>
          <w:color w:val="333333"/>
          <w:sz w:val="21"/>
          <w:szCs w:val="21"/>
        </w:rPr>
      </w:pPr>
      <w:r>
        <w:rPr>
          <w:rFonts w:hint="default" w:ascii="Tahoma" w:hAnsi="Tahoma" w:eastAsia="Tahoma" w:cs="Tahoma"/>
          <w:i w:val="0"/>
          <w:iCs w:val="0"/>
          <w:caps w:val="0"/>
          <w:color w:val="333333"/>
          <w:spacing w:val="0"/>
          <w:kern w:val="0"/>
          <w:sz w:val="24"/>
          <w:szCs w:val="24"/>
          <w:lang w:val="en-US" w:eastAsia="zh-CN" w:bidi="ar"/>
        </w:rPr>
        <w:t>2.单位负责人为同一人或者存在直接控股、管理关系的不同供应商，不得参加本项目同一合同项下的采购活动。</w:t>
      </w:r>
    </w:p>
    <w:p w14:paraId="15D0DB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480"/>
        <w:jc w:val="left"/>
        <w:rPr>
          <w:rFonts w:hint="default" w:ascii="Tahoma" w:hAnsi="Tahoma" w:eastAsia="Tahoma" w:cs="Tahoma"/>
          <w:color w:val="333333"/>
          <w:sz w:val="21"/>
          <w:szCs w:val="21"/>
        </w:rPr>
      </w:pPr>
      <w:r>
        <w:rPr>
          <w:rFonts w:hint="default" w:ascii="Tahoma" w:hAnsi="Tahoma" w:eastAsia="Tahoma" w:cs="Tahoma"/>
          <w:i w:val="0"/>
          <w:iCs w:val="0"/>
          <w:caps w:val="0"/>
          <w:color w:val="333333"/>
          <w:spacing w:val="0"/>
          <w:kern w:val="0"/>
          <w:sz w:val="24"/>
          <w:szCs w:val="24"/>
          <w:lang w:val="en-US" w:eastAsia="zh-CN" w:bidi="ar"/>
        </w:rPr>
        <w:t>3.未被列入失信被执行人、重大税收违法失信主体，未被列入政府采购严重违法失信行为记录名单。</w:t>
      </w:r>
    </w:p>
    <w:p w14:paraId="50B783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480"/>
        <w:jc w:val="left"/>
        <w:rPr>
          <w:rFonts w:hint="default" w:ascii="Tahoma" w:hAnsi="Tahoma" w:eastAsia="Tahoma" w:cs="Tahoma"/>
          <w:i w:val="0"/>
          <w:iCs w:val="0"/>
          <w:caps w:val="0"/>
          <w:color w:val="333333"/>
          <w:spacing w:val="0"/>
          <w:kern w:val="0"/>
          <w:sz w:val="24"/>
          <w:szCs w:val="24"/>
          <w:lang w:val="en-US" w:eastAsia="zh-CN" w:bidi="ar"/>
        </w:rPr>
      </w:pPr>
      <w:r>
        <w:rPr>
          <w:rFonts w:hint="eastAsia" w:ascii="Tahoma" w:hAnsi="Tahoma" w:eastAsia="Tahoma" w:cs="Tahoma"/>
          <w:i w:val="0"/>
          <w:iCs w:val="0"/>
          <w:caps w:val="0"/>
          <w:color w:val="333333"/>
          <w:spacing w:val="0"/>
          <w:kern w:val="0"/>
          <w:sz w:val="24"/>
          <w:szCs w:val="24"/>
          <w:lang w:val="en-US" w:eastAsia="zh-CN" w:bidi="ar"/>
        </w:rPr>
        <w:t>4</w:t>
      </w:r>
      <w:r>
        <w:rPr>
          <w:rFonts w:hint="default" w:ascii="Tahoma" w:hAnsi="Tahoma" w:eastAsia="Tahoma" w:cs="Tahoma"/>
          <w:i w:val="0"/>
          <w:iCs w:val="0"/>
          <w:caps w:val="0"/>
          <w:color w:val="333333"/>
          <w:spacing w:val="0"/>
          <w:kern w:val="0"/>
          <w:sz w:val="24"/>
          <w:szCs w:val="24"/>
          <w:lang w:val="en-US" w:eastAsia="zh-CN" w:bidi="ar"/>
        </w:rPr>
        <w:t>.供应商特定资格要求：供应商须具有有效的营业执照且经营范围</w:t>
      </w:r>
      <w:r>
        <w:rPr>
          <w:rFonts w:hint="eastAsia" w:ascii="Tahoma" w:hAnsi="Tahoma" w:eastAsia="Tahoma" w:cs="Tahoma"/>
          <w:i w:val="0"/>
          <w:iCs w:val="0"/>
          <w:caps w:val="0"/>
          <w:color w:val="333333"/>
          <w:spacing w:val="0"/>
          <w:kern w:val="0"/>
          <w:sz w:val="24"/>
          <w:szCs w:val="24"/>
          <w:lang w:val="en-US" w:eastAsia="zh-CN" w:bidi="ar"/>
        </w:rPr>
        <w:t>搬运劳务、道路货物运输资质</w:t>
      </w:r>
      <w:r>
        <w:rPr>
          <w:rFonts w:hint="default" w:ascii="Tahoma" w:hAnsi="Tahoma" w:eastAsia="Tahoma" w:cs="Tahoma"/>
          <w:i w:val="0"/>
          <w:iCs w:val="0"/>
          <w:caps w:val="0"/>
          <w:color w:val="333333"/>
          <w:spacing w:val="0"/>
          <w:kern w:val="0"/>
          <w:sz w:val="24"/>
          <w:szCs w:val="24"/>
          <w:lang w:val="en-US" w:eastAsia="zh-CN" w:bidi="ar"/>
        </w:rPr>
        <w:t>。</w:t>
      </w:r>
    </w:p>
    <w:p w14:paraId="49D5046E">
      <w:pPr>
        <w:pStyle w:val="2"/>
        <w:spacing w:before="0" w:after="0" w:line="240" w:lineRule="auto"/>
        <w:ind w:firstLine="480" w:firstLineChars="200"/>
        <w:rPr>
          <w:rFonts w:hint="eastAsia" w:ascii="Tahoma" w:hAnsi="Tahoma" w:eastAsia="Tahoma" w:cs="Tahoma"/>
          <w:b w:val="0"/>
          <w:bCs/>
          <w:i w:val="0"/>
          <w:iCs w:val="0"/>
          <w:caps w:val="0"/>
          <w:color w:val="333333"/>
          <w:spacing w:val="0"/>
          <w:kern w:val="0"/>
          <w:sz w:val="24"/>
          <w:szCs w:val="24"/>
          <w:lang w:val="en-US" w:eastAsia="zh-CN" w:bidi="ar"/>
        </w:rPr>
      </w:pPr>
      <w:r>
        <w:rPr>
          <w:rFonts w:hint="eastAsia" w:ascii="Tahoma" w:hAnsi="Tahoma" w:eastAsia="Tahoma" w:cs="Tahoma"/>
          <w:i w:val="0"/>
          <w:iCs w:val="0"/>
          <w:caps w:val="0"/>
          <w:color w:val="333333"/>
          <w:spacing w:val="0"/>
          <w:kern w:val="0"/>
          <w:sz w:val="24"/>
          <w:szCs w:val="24"/>
          <w:lang w:val="en-US" w:eastAsia="zh-CN" w:bidi="ar"/>
        </w:rPr>
        <w:t>5.特别说明：</w:t>
      </w:r>
      <w:r>
        <w:rPr>
          <w:rFonts w:hint="eastAsia" w:ascii="Tahoma" w:hAnsi="Tahoma" w:eastAsia="Tahoma" w:cs="Tahoma"/>
          <w:b w:val="0"/>
          <w:bCs/>
          <w:i w:val="0"/>
          <w:iCs w:val="0"/>
          <w:caps w:val="0"/>
          <w:color w:val="333333"/>
          <w:spacing w:val="0"/>
          <w:kern w:val="0"/>
          <w:sz w:val="24"/>
          <w:szCs w:val="24"/>
          <w:lang w:val="en-US" w:eastAsia="zh-CN" w:bidi="ar"/>
        </w:rPr>
        <w:t>1.此次中标者承担食品科技学院、旅游管理学院、医务室的搬迁工作，搬迁工作包括将上述场地提供搬迁准备物品、物品整理打包、搬到指定位置为第一次搬迁，后续根据我校要求再将办公物品搬回为第二次搬迁。此次费用为来回共两次的费用。</w:t>
      </w:r>
    </w:p>
    <w:p w14:paraId="12044B07">
      <w:pPr>
        <w:ind w:firstLine="480" w:firstLineChars="200"/>
        <w:rPr>
          <w:rFonts w:hint="default"/>
          <w:b w:val="0"/>
          <w:bCs/>
          <w:lang w:val="en-US"/>
        </w:rPr>
      </w:pPr>
      <w:r>
        <w:rPr>
          <w:rFonts w:hint="eastAsia" w:ascii="Tahoma" w:hAnsi="Tahoma" w:eastAsia="Tahoma" w:cs="Tahoma"/>
          <w:b w:val="0"/>
          <w:bCs/>
          <w:i w:val="0"/>
          <w:iCs w:val="0"/>
          <w:caps w:val="0"/>
          <w:color w:val="333333"/>
          <w:spacing w:val="0"/>
          <w:kern w:val="0"/>
          <w:sz w:val="24"/>
          <w:szCs w:val="24"/>
          <w:lang w:val="en-US" w:eastAsia="zh-CN" w:bidi="ar"/>
        </w:rPr>
        <w:t>2.完成第一次搬迁后的支付总费用的40%，完成全部搬迁工作后无任何搬迁服务问题支付全部费用。</w:t>
      </w:r>
    </w:p>
    <w:p w14:paraId="720284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480"/>
        <w:jc w:val="left"/>
        <w:rPr>
          <w:rFonts w:hint="default" w:ascii="Tahoma" w:hAnsi="Tahoma" w:eastAsia="Tahoma" w:cs="Tahoma"/>
          <w:color w:val="333333"/>
          <w:sz w:val="21"/>
          <w:szCs w:val="21"/>
        </w:rPr>
      </w:pPr>
      <w:r>
        <w:rPr>
          <w:rStyle w:val="12"/>
          <w:rFonts w:hint="default" w:ascii="Tahoma" w:hAnsi="Tahoma" w:eastAsia="Tahoma" w:cs="Tahoma"/>
          <w:i w:val="0"/>
          <w:iCs w:val="0"/>
          <w:caps w:val="0"/>
          <w:color w:val="333333"/>
          <w:spacing w:val="0"/>
          <w:kern w:val="0"/>
          <w:sz w:val="24"/>
          <w:szCs w:val="24"/>
          <w:lang w:val="en-US" w:eastAsia="zh-CN" w:bidi="ar"/>
        </w:rPr>
        <w:t>三、响应文件提交</w:t>
      </w:r>
    </w:p>
    <w:p w14:paraId="1B63B8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480"/>
        <w:jc w:val="left"/>
        <w:rPr>
          <w:rFonts w:hint="default" w:ascii="Tahoma" w:hAnsi="Tahoma" w:eastAsia="Tahoma" w:cs="Tahoma"/>
          <w:color w:val="333333"/>
          <w:sz w:val="21"/>
          <w:szCs w:val="21"/>
        </w:rPr>
      </w:pPr>
      <w:r>
        <w:rPr>
          <w:rFonts w:hint="default" w:ascii="Tahoma" w:hAnsi="Tahoma" w:eastAsia="Tahoma" w:cs="Tahoma"/>
          <w:i w:val="0"/>
          <w:iCs w:val="0"/>
          <w:caps w:val="0"/>
          <w:color w:val="333333"/>
          <w:spacing w:val="0"/>
          <w:kern w:val="0"/>
          <w:sz w:val="24"/>
          <w:szCs w:val="24"/>
          <w:lang w:val="en-US" w:eastAsia="zh-CN" w:bidi="ar"/>
        </w:rPr>
        <w:t>1.截止时间：2025年</w:t>
      </w:r>
      <w:r>
        <w:rPr>
          <w:rFonts w:hint="eastAsia" w:ascii="Tahoma" w:hAnsi="Tahoma" w:eastAsia="Tahoma" w:cs="Tahoma"/>
          <w:i w:val="0"/>
          <w:iCs w:val="0"/>
          <w:caps w:val="0"/>
          <w:color w:val="333333"/>
          <w:spacing w:val="0"/>
          <w:kern w:val="0"/>
          <w:sz w:val="24"/>
          <w:szCs w:val="24"/>
          <w:lang w:val="en-US" w:eastAsia="zh-CN" w:bidi="ar"/>
        </w:rPr>
        <w:t>7</w:t>
      </w:r>
      <w:r>
        <w:rPr>
          <w:rFonts w:hint="default" w:ascii="Tahoma" w:hAnsi="Tahoma" w:eastAsia="Tahoma" w:cs="Tahoma"/>
          <w:i w:val="0"/>
          <w:iCs w:val="0"/>
          <w:caps w:val="0"/>
          <w:color w:val="333333"/>
          <w:spacing w:val="0"/>
          <w:kern w:val="0"/>
          <w:sz w:val="24"/>
          <w:szCs w:val="24"/>
          <w:lang w:val="en-US" w:eastAsia="zh-CN" w:bidi="ar"/>
        </w:rPr>
        <w:t>月</w:t>
      </w:r>
      <w:r>
        <w:rPr>
          <w:rFonts w:hint="eastAsia" w:ascii="Tahoma" w:hAnsi="Tahoma" w:eastAsia="Tahoma" w:cs="Tahoma"/>
          <w:i w:val="0"/>
          <w:iCs w:val="0"/>
          <w:caps w:val="0"/>
          <w:color w:val="333333"/>
          <w:spacing w:val="0"/>
          <w:kern w:val="0"/>
          <w:sz w:val="24"/>
          <w:szCs w:val="24"/>
          <w:lang w:val="en-US" w:eastAsia="zh-CN" w:bidi="ar"/>
        </w:rPr>
        <w:t>7</w:t>
      </w:r>
      <w:r>
        <w:rPr>
          <w:rFonts w:hint="default" w:ascii="Tahoma" w:hAnsi="Tahoma" w:eastAsia="Tahoma" w:cs="Tahoma"/>
          <w:i w:val="0"/>
          <w:iCs w:val="0"/>
          <w:caps w:val="0"/>
          <w:color w:val="333333"/>
          <w:spacing w:val="0"/>
          <w:kern w:val="0"/>
          <w:sz w:val="24"/>
          <w:szCs w:val="24"/>
          <w:lang w:val="en-US" w:eastAsia="zh-CN" w:bidi="ar"/>
        </w:rPr>
        <w:t>日9点30分（北京时间）。</w:t>
      </w:r>
    </w:p>
    <w:p w14:paraId="7C7CCA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480"/>
        <w:jc w:val="left"/>
        <w:rPr>
          <w:rFonts w:hint="default" w:ascii="Tahoma" w:hAnsi="Tahoma" w:eastAsia="Tahoma" w:cs="Tahoma"/>
          <w:i w:val="0"/>
          <w:iCs w:val="0"/>
          <w:caps w:val="0"/>
          <w:color w:val="333333"/>
          <w:spacing w:val="0"/>
          <w:kern w:val="0"/>
          <w:sz w:val="24"/>
          <w:szCs w:val="24"/>
          <w:lang w:val="en-US" w:eastAsia="zh-CN" w:bidi="ar"/>
        </w:rPr>
      </w:pPr>
      <w:r>
        <w:rPr>
          <w:rFonts w:hint="default" w:ascii="Tahoma" w:hAnsi="Tahoma" w:eastAsia="Tahoma" w:cs="Tahoma"/>
          <w:i w:val="0"/>
          <w:iCs w:val="0"/>
          <w:caps w:val="0"/>
          <w:color w:val="333333"/>
          <w:spacing w:val="0"/>
          <w:kern w:val="0"/>
          <w:sz w:val="24"/>
          <w:szCs w:val="24"/>
          <w:lang w:val="en-US" w:eastAsia="zh-CN" w:bidi="ar"/>
        </w:rPr>
        <w:t>2.地点：武汉商学院</w:t>
      </w:r>
      <w:r>
        <w:rPr>
          <w:rFonts w:hint="eastAsia" w:ascii="宋体" w:hAnsi="宋体" w:eastAsia="宋体" w:cs="宋体"/>
          <w:i w:val="0"/>
          <w:iCs w:val="0"/>
          <w:caps w:val="0"/>
          <w:color w:val="333333"/>
          <w:spacing w:val="0"/>
          <w:kern w:val="0"/>
          <w:sz w:val="24"/>
          <w:szCs w:val="24"/>
          <w:lang w:val="en-US" w:eastAsia="zh-CN" w:bidi="ar"/>
        </w:rPr>
        <w:t>南区117栋107</w:t>
      </w:r>
      <w:r>
        <w:rPr>
          <w:rFonts w:hint="default" w:ascii="Tahoma" w:hAnsi="Tahoma" w:eastAsia="Tahoma" w:cs="Tahoma"/>
          <w:i w:val="0"/>
          <w:iCs w:val="0"/>
          <w:caps w:val="0"/>
          <w:color w:val="333333"/>
          <w:spacing w:val="0"/>
          <w:kern w:val="0"/>
          <w:sz w:val="24"/>
          <w:szCs w:val="24"/>
          <w:lang w:val="en-US" w:eastAsia="zh-CN" w:bidi="ar"/>
        </w:rPr>
        <w:t>会议室（现场递交）。</w:t>
      </w:r>
    </w:p>
    <w:p w14:paraId="4C0B90C3">
      <w:pPr>
        <w:keepNext/>
        <w:keepLines/>
        <w:spacing w:line="360" w:lineRule="auto"/>
        <w:ind w:firstLine="482" w:firstLineChars="200"/>
        <w:outlineLvl w:val="1"/>
        <w:rPr>
          <w:rFonts w:hint="eastAsia" w:ascii="宋体" w:hAnsi="宋体" w:eastAsia="宋体" w:cs="仿宋_GB2312"/>
          <w:b/>
          <w:kern w:val="2"/>
          <w:sz w:val="24"/>
          <w:szCs w:val="24"/>
          <w:highlight w:val="none"/>
          <w:lang w:val="en-US" w:eastAsia="zh-CN"/>
        </w:rPr>
      </w:pPr>
      <w:r>
        <w:rPr>
          <w:rFonts w:hint="eastAsia" w:ascii="宋体" w:hAnsi="宋体" w:eastAsia="宋体" w:cs="仿宋_GB2312"/>
          <w:b/>
          <w:kern w:val="2"/>
          <w:sz w:val="24"/>
          <w:szCs w:val="24"/>
          <w:highlight w:val="none"/>
          <w:lang w:val="en-US" w:eastAsia="zh-CN"/>
        </w:rPr>
        <w:t>四、供应商响应文件至少包含但不限于以下材料</w:t>
      </w:r>
    </w:p>
    <w:p w14:paraId="2C9CACC3">
      <w:pPr>
        <w:adjustRightInd w:val="0"/>
        <w:snapToGrid w:val="0"/>
        <w:spacing w:line="360" w:lineRule="auto"/>
        <w:ind w:firstLine="480" w:firstLineChars="200"/>
        <w:rPr>
          <w:rFonts w:hint="eastAsia" w:ascii="宋体" w:hAnsi="宋体" w:eastAsia="宋体" w:cs="仿宋_GB2312"/>
          <w:kern w:val="2"/>
          <w:sz w:val="24"/>
          <w:szCs w:val="24"/>
          <w:highlight w:val="none"/>
          <w:lang w:val="en-US" w:eastAsia="zh-CN"/>
        </w:rPr>
      </w:pPr>
      <w:r>
        <w:rPr>
          <w:rFonts w:hint="eastAsia" w:ascii="宋体" w:hAnsi="宋体" w:eastAsia="宋体" w:cs="仿宋_GB2312"/>
          <w:kern w:val="2"/>
          <w:sz w:val="24"/>
          <w:szCs w:val="24"/>
          <w:highlight w:val="none"/>
          <w:lang w:val="en-US" w:eastAsia="zh-CN"/>
        </w:rPr>
        <w:t>1</w:t>
      </w:r>
      <w:r>
        <w:rPr>
          <w:rFonts w:ascii="宋体" w:hAnsi="宋体" w:eastAsia="宋体" w:cs="仿宋_GB2312"/>
          <w:kern w:val="2"/>
          <w:sz w:val="24"/>
          <w:szCs w:val="24"/>
          <w:highlight w:val="none"/>
          <w:lang w:val="hr-HR"/>
        </w:rPr>
        <w:t>.</w:t>
      </w:r>
      <w:r>
        <w:rPr>
          <w:rFonts w:hint="eastAsia" w:ascii="宋体" w:hAnsi="宋体" w:eastAsia="宋体" w:cs="仿宋_GB2312"/>
          <w:kern w:val="2"/>
          <w:sz w:val="24"/>
          <w:szCs w:val="24"/>
          <w:highlight w:val="none"/>
          <w:lang w:val="en-US" w:eastAsia="zh-CN"/>
        </w:rPr>
        <w:t>封面；</w:t>
      </w:r>
    </w:p>
    <w:p w14:paraId="4B6DF8A1">
      <w:pPr>
        <w:adjustRightInd w:val="0"/>
        <w:snapToGrid w:val="0"/>
        <w:spacing w:line="360" w:lineRule="auto"/>
        <w:ind w:firstLine="480" w:firstLineChars="200"/>
        <w:rPr>
          <w:rFonts w:hint="default" w:ascii="宋体" w:hAnsi="宋体" w:eastAsia="宋体" w:cs="仿宋_GB2312"/>
          <w:kern w:val="2"/>
          <w:sz w:val="24"/>
          <w:szCs w:val="24"/>
          <w:highlight w:val="none"/>
          <w:lang w:val="en-US" w:eastAsia="zh-CN"/>
        </w:rPr>
      </w:pPr>
      <w:r>
        <w:rPr>
          <w:rFonts w:hint="eastAsia" w:ascii="宋体" w:hAnsi="宋体" w:eastAsia="宋体" w:cs="仿宋_GB2312"/>
          <w:kern w:val="2"/>
          <w:sz w:val="24"/>
          <w:szCs w:val="24"/>
          <w:highlight w:val="none"/>
          <w:lang w:val="en-US" w:eastAsia="zh-CN"/>
        </w:rPr>
        <w:t>2</w:t>
      </w:r>
      <w:r>
        <w:rPr>
          <w:rFonts w:ascii="宋体" w:hAnsi="宋体" w:eastAsia="宋体" w:cs="仿宋_GB2312"/>
          <w:kern w:val="2"/>
          <w:sz w:val="24"/>
          <w:szCs w:val="24"/>
          <w:highlight w:val="none"/>
          <w:lang w:val="hr-HR"/>
        </w:rPr>
        <w:t>.</w:t>
      </w:r>
      <w:r>
        <w:rPr>
          <w:rFonts w:hint="eastAsia" w:ascii="宋体" w:hAnsi="宋体" w:eastAsia="宋体" w:cs="仿宋_GB2312"/>
          <w:kern w:val="2"/>
          <w:sz w:val="24"/>
          <w:szCs w:val="24"/>
          <w:highlight w:val="none"/>
          <w:lang w:val="en-US" w:eastAsia="zh-CN"/>
        </w:rPr>
        <w:t>公司营业执照；</w:t>
      </w:r>
    </w:p>
    <w:p w14:paraId="1D924484">
      <w:pPr>
        <w:adjustRightInd w:val="0"/>
        <w:snapToGrid w:val="0"/>
        <w:spacing w:line="360" w:lineRule="auto"/>
        <w:ind w:firstLine="480" w:firstLineChars="200"/>
        <w:rPr>
          <w:rFonts w:hint="default" w:ascii="宋体" w:hAnsi="宋体" w:eastAsia="宋体" w:cs="仿宋_GB2312"/>
          <w:kern w:val="2"/>
          <w:sz w:val="24"/>
          <w:szCs w:val="24"/>
          <w:highlight w:val="none"/>
          <w:lang w:val="en-US" w:eastAsia="zh-CN"/>
        </w:rPr>
      </w:pPr>
      <w:r>
        <w:rPr>
          <w:rFonts w:hint="eastAsia" w:ascii="宋体" w:hAnsi="宋体" w:eastAsia="宋体" w:cs="仿宋_GB2312"/>
          <w:kern w:val="2"/>
          <w:sz w:val="24"/>
          <w:szCs w:val="24"/>
          <w:highlight w:val="none"/>
          <w:lang w:val="en-US" w:eastAsia="zh-CN"/>
        </w:rPr>
        <w:t>3</w:t>
      </w:r>
      <w:r>
        <w:rPr>
          <w:rFonts w:ascii="宋体" w:hAnsi="宋体" w:eastAsia="宋体" w:cs="仿宋_GB2312"/>
          <w:kern w:val="2"/>
          <w:sz w:val="24"/>
          <w:szCs w:val="24"/>
          <w:highlight w:val="none"/>
          <w:lang w:val="hr-HR"/>
        </w:rPr>
        <w:t>.</w:t>
      </w:r>
      <w:r>
        <w:rPr>
          <w:rFonts w:hint="eastAsia" w:ascii="宋体" w:hAnsi="宋体" w:eastAsia="宋体" w:cs="仿宋_GB2312"/>
          <w:kern w:val="2"/>
          <w:sz w:val="24"/>
          <w:szCs w:val="24"/>
          <w:highlight w:val="none"/>
          <w:lang w:val="en-US" w:eastAsia="zh-CN"/>
        </w:rPr>
        <w:t>法定代表人授权委托书原件；</w:t>
      </w:r>
    </w:p>
    <w:p w14:paraId="492CA93A">
      <w:pPr>
        <w:adjustRightInd w:val="0"/>
        <w:snapToGrid w:val="0"/>
        <w:spacing w:line="360" w:lineRule="auto"/>
        <w:ind w:firstLine="480" w:firstLineChars="200"/>
        <w:rPr>
          <w:rFonts w:hint="default" w:ascii="宋体" w:hAnsi="宋体" w:eastAsia="宋体" w:cs="仿宋_GB2312"/>
          <w:kern w:val="2"/>
          <w:sz w:val="24"/>
          <w:szCs w:val="24"/>
          <w:highlight w:val="none"/>
          <w:lang w:val="en-US" w:eastAsia="zh-CN"/>
        </w:rPr>
      </w:pPr>
      <w:r>
        <w:rPr>
          <w:rFonts w:hint="eastAsia" w:ascii="宋体" w:hAnsi="宋体" w:eastAsia="宋体" w:cs="仿宋_GB2312"/>
          <w:kern w:val="2"/>
          <w:sz w:val="24"/>
          <w:szCs w:val="24"/>
          <w:highlight w:val="none"/>
          <w:lang w:val="en-US" w:eastAsia="zh-CN"/>
        </w:rPr>
        <w:t>4</w:t>
      </w:r>
      <w:r>
        <w:rPr>
          <w:rFonts w:ascii="宋体" w:hAnsi="宋体" w:eastAsia="宋体" w:cs="仿宋_GB2312"/>
          <w:kern w:val="2"/>
          <w:sz w:val="24"/>
          <w:szCs w:val="24"/>
          <w:highlight w:val="none"/>
          <w:lang w:val="hr-HR"/>
        </w:rPr>
        <w:t>.</w:t>
      </w:r>
      <w:r>
        <w:rPr>
          <w:rFonts w:hint="eastAsia" w:ascii="宋体" w:hAnsi="宋体" w:eastAsia="宋体" w:cs="仿宋_GB2312"/>
          <w:kern w:val="2"/>
          <w:sz w:val="24"/>
          <w:szCs w:val="24"/>
          <w:highlight w:val="none"/>
          <w:lang w:val="en-US" w:eastAsia="zh-CN"/>
        </w:rPr>
        <w:t>法定代表人身份证(二代证)复印件；</w:t>
      </w:r>
    </w:p>
    <w:p w14:paraId="2E66F169">
      <w:pPr>
        <w:adjustRightInd w:val="0"/>
        <w:snapToGrid w:val="0"/>
        <w:spacing w:line="360" w:lineRule="auto"/>
        <w:ind w:firstLine="480" w:firstLineChars="200"/>
        <w:rPr>
          <w:rFonts w:hint="default" w:ascii="宋体" w:hAnsi="宋体" w:eastAsia="宋体" w:cs="仿宋_GB2312"/>
          <w:kern w:val="2"/>
          <w:sz w:val="24"/>
          <w:szCs w:val="24"/>
          <w:highlight w:val="none"/>
          <w:lang w:val="en-US" w:eastAsia="zh-CN"/>
        </w:rPr>
      </w:pPr>
      <w:r>
        <w:rPr>
          <w:rFonts w:hint="eastAsia" w:ascii="宋体" w:hAnsi="宋体" w:eastAsia="宋体" w:cs="仿宋_GB2312"/>
          <w:kern w:val="2"/>
          <w:sz w:val="24"/>
          <w:szCs w:val="24"/>
          <w:highlight w:val="none"/>
          <w:lang w:val="en-US" w:eastAsia="zh-CN"/>
        </w:rPr>
        <w:t>5</w:t>
      </w:r>
      <w:r>
        <w:rPr>
          <w:rFonts w:ascii="宋体" w:hAnsi="宋体" w:eastAsia="宋体" w:cs="仿宋_GB2312"/>
          <w:kern w:val="2"/>
          <w:sz w:val="24"/>
          <w:szCs w:val="24"/>
          <w:highlight w:val="none"/>
          <w:lang w:val="hr-HR"/>
        </w:rPr>
        <w:t>.</w:t>
      </w:r>
      <w:r>
        <w:rPr>
          <w:rFonts w:hint="eastAsia" w:ascii="宋体" w:hAnsi="宋体" w:eastAsia="宋体" w:cs="仿宋_GB2312"/>
          <w:kern w:val="2"/>
          <w:sz w:val="24"/>
          <w:szCs w:val="24"/>
          <w:highlight w:val="none"/>
          <w:lang w:val="en-US" w:eastAsia="zh-CN"/>
        </w:rPr>
        <w:t>被授权人身份证(二代证)复印件；</w:t>
      </w:r>
    </w:p>
    <w:p w14:paraId="5C3D51F8">
      <w:pPr>
        <w:adjustRightInd w:val="0"/>
        <w:snapToGrid w:val="0"/>
        <w:spacing w:line="360" w:lineRule="auto"/>
        <w:ind w:firstLine="480" w:firstLineChars="200"/>
        <w:rPr>
          <w:rFonts w:hint="eastAsia" w:ascii="宋体" w:hAnsi="宋体" w:eastAsia="宋体" w:cs="仿宋_GB2312"/>
          <w:kern w:val="2"/>
          <w:sz w:val="24"/>
          <w:szCs w:val="24"/>
          <w:highlight w:val="none"/>
          <w:lang w:val="en-US" w:eastAsia="zh-CN"/>
        </w:rPr>
      </w:pPr>
      <w:r>
        <w:rPr>
          <w:rFonts w:hint="eastAsia" w:ascii="宋体" w:hAnsi="宋体" w:eastAsia="宋体" w:cs="仿宋_GB2312"/>
          <w:kern w:val="2"/>
          <w:sz w:val="24"/>
          <w:szCs w:val="24"/>
          <w:highlight w:val="none"/>
          <w:lang w:val="en-US" w:eastAsia="zh-CN"/>
        </w:rPr>
        <w:t>6</w:t>
      </w:r>
      <w:r>
        <w:rPr>
          <w:rFonts w:ascii="宋体" w:hAnsi="宋体" w:eastAsia="宋体" w:cs="仿宋_GB2312"/>
          <w:kern w:val="2"/>
          <w:sz w:val="24"/>
          <w:szCs w:val="24"/>
          <w:highlight w:val="none"/>
          <w:lang w:val="hr-HR"/>
        </w:rPr>
        <w:t>.</w:t>
      </w:r>
      <w:r>
        <w:rPr>
          <w:rFonts w:hint="eastAsia" w:ascii="宋体" w:hAnsi="宋体" w:eastAsia="宋体" w:cs="仿宋_GB2312"/>
          <w:kern w:val="2"/>
          <w:sz w:val="24"/>
          <w:szCs w:val="24"/>
          <w:highlight w:val="none"/>
          <w:lang w:val="en-US" w:eastAsia="zh-CN"/>
        </w:rPr>
        <w:t>响应报价（格式</w:t>
      </w:r>
      <w:r>
        <w:rPr>
          <w:rFonts w:hint="eastAsia" w:ascii="宋体" w:hAnsi="宋体" w:cs="仿宋_GB2312"/>
          <w:kern w:val="2"/>
          <w:sz w:val="24"/>
          <w:szCs w:val="24"/>
          <w:highlight w:val="none"/>
          <w:lang w:val="en-US" w:eastAsia="zh-CN"/>
        </w:rPr>
        <w:t>如下，报价保留2位小数</w:t>
      </w:r>
      <w:r>
        <w:rPr>
          <w:rFonts w:hint="eastAsia" w:ascii="宋体" w:hAnsi="宋体" w:eastAsia="宋体" w:cs="仿宋_GB2312"/>
          <w:kern w:val="2"/>
          <w:sz w:val="24"/>
          <w:szCs w:val="24"/>
          <w:highlight w:val="none"/>
          <w:lang w:val="en-US" w:eastAsia="zh-CN"/>
        </w:rPr>
        <w:t>）</w:t>
      </w:r>
    </w:p>
    <w:p w14:paraId="57469C9F">
      <w:pPr>
        <w:adjustRightInd w:val="0"/>
        <w:snapToGrid w:val="0"/>
        <w:spacing w:line="360" w:lineRule="auto"/>
        <w:ind w:firstLine="480" w:firstLineChars="200"/>
        <w:rPr>
          <w:rFonts w:hint="eastAsia" w:ascii="宋体" w:hAnsi="宋体" w:eastAsia="宋体" w:cs="仿宋_GB2312"/>
          <w:kern w:val="2"/>
          <w:sz w:val="24"/>
          <w:szCs w:val="24"/>
          <w:highlight w:val="none"/>
          <w:lang w:val="en-US" w:eastAsia="zh-CN"/>
        </w:rPr>
      </w:pPr>
      <w:r>
        <w:rPr>
          <w:rFonts w:hint="eastAsia" w:ascii="宋体" w:hAnsi="宋体" w:cs="仿宋_GB2312"/>
          <w:kern w:val="2"/>
          <w:sz w:val="24"/>
          <w:szCs w:val="24"/>
          <w:highlight w:val="none"/>
          <w:lang w:val="en-US" w:eastAsia="zh-CN"/>
        </w:rPr>
        <w:t>6</w:t>
      </w:r>
      <w:r>
        <w:rPr>
          <w:rFonts w:hint="eastAsia" w:ascii="宋体" w:hAnsi="宋体" w:eastAsia="宋体" w:cs="仿宋_GB2312"/>
          <w:kern w:val="2"/>
          <w:sz w:val="24"/>
          <w:szCs w:val="24"/>
          <w:highlight w:val="none"/>
          <w:lang w:val="en-US" w:eastAsia="zh-CN"/>
        </w:rPr>
        <w:t>.1 投标函及附件</w:t>
      </w:r>
    </w:p>
    <w:p w14:paraId="206226C3">
      <w:pPr>
        <w:adjustRightInd w:val="0"/>
        <w:snapToGrid w:val="0"/>
        <w:spacing w:line="360" w:lineRule="auto"/>
        <w:ind w:firstLine="480" w:firstLineChars="200"/>
        <w:rPr>
          <w:rFonts w:hint="eastAsia" w:ascii="宋体" w:hAnsi="宋体" w:eastAsia="宋体" w:cs="仿宋_GB2312"/>
          <w:kern w:val="2"/>
          <w:sz w:val="24"/>
          <w:szCs w:val="24"/>
          <w:highlight w:val="none"/>
          <w:lang w:val="en-US" w:eastAsia="zh-CN"/>
        </w:rPr>
      </w:pPr>
      <w:r>
        <w:rPr>
          <w:rFonts w:hint="eastAsia" w:ascii="宋体" w:hAnsi="宋体" w:cs="仿宋_GB2312"/>
          <w:kern w:val="2"/>
          <w:sz w:val="24"/>
          <w:szCs w:val="24"/>
          <w:highlight w:val="none"/>
          <w:lang w:val="en-US" w:eastAsia="zh-CN"/>
        </w:rPr>
        <w:t>6</w:t>
      </w:r>
      <w:r>
        <w:rPr>
          <w:rFonts w:hint="eastAsia" w:ascii="宋体" w:hAnsi="宋体" w:eastAsia="宋体" w:cs="仿宋_GB2312"/>
          <w:kern w:val="2"/>
          <w:sz w:val="24"/>
          <w:szCs w:val="24"/>
          <w:highlight w:val="none"/>
          <w:lang w:val="en-US" w:eastAsia="zh-CN"/>
        </w:rPr>
        <w:t>.2 报价文件</w:t>
      </w:r>
    </w:p>
    <w:p w14:paraId="11232BF5">
      <w:pPr>
        <w:adjustRightInd w:val="0"/>
        <w:snapToGrid w:val="0"/>
        <w:spacing w:line="360" w:lineRule="auto"/>
        <w:ind w:firstLine="480" w:firstLineChars="200"/>
        <w:rPr>
          <w:rFonts w:hint="eastAsia" w:ascii="宋体" w:hAnsi="宋体" w:eastAsia="宋体" w:cs="仿宋_GB2312"/>
          <w:kern w:val="2"/>
          <w:sz w:val="24"/>
          <w:szCs w:val="24"/>
          <w:highlight w:val="none"/>
          <w:lang w:val="en-US" w:eastAsia="zh-CN"/>
        </w:rPr>
      </w:pPr>
      <w:r>
        <w:rPr>
          <w:rFonts w:hint="eastAsia" w:ascii="宋体" w:hAnsi="宋体" w:cs="仿宋_GB2312"/>
          <w:kern w:val="2"/>
          <w:sz w:val="24"/>
          <w:szCs w:val="24"/>
          <w:highlight w:val="none"/>
          <w:lang w:val="en-US" w:eastAsia="zh-CN"/>
        </w:rPr>
        <w:t>6</w:t>
      </w:r>
      <w:r>
        <w:rPr>
          <w:rFonts w:hint="eastAsia" w:ascii="宋体" w:hAnsi="宋体" w:eastAsia="宋体" w:cs="仿宋_GB2312"/>
          <w:kern w:val="2"/>
          <w:sz w:val="24"/>
          <w:szCs w:val="24"/>
          <w:highlight w:val="none"/>
          <w:lang w:val="en-US" w:eastAsia="zh-CN"/>
        </w:rPr>
        <w:t>.3 商务文件</w:t>
      </w:r>
    </w:p>
    <w:p w14:paraId="294388C6">
      <w:pPr>
        <w:adjustRightInd w:val="0"/>
        <w:snapToGrid w:val="0"/>
        <w:spacing w:line="360" w:lineRule="auto"/>
        <w:ind w:firstLine="480" w:firstLineChars="200"/>
        <w:rPr>
          <w:rFonts w:hint="eastAsia" w:ascii="宋体" w:hAnsi="宋体" w:eastAsia="宋体" w:cs="仿宋_GB2312"/>
          <w:kern w:val="2"/>
          <w:sz w:val="24"/>
          <w:szCs w:val="24"/>
          <w:highlight w:val="none"/>
          <w:lang w:val="en-US" w:eastAsia="zh-CN"/>
        </w:rPr>
      </w:pPr>
      <w:r>
        <w:rPr>
          <w:rFonts w:hint="eastAsia" w:ascii="宋体" w:hAnsi="宋体" w:cs="仿宋_GB2312"/>
          <w:kern w:val="2"/>
          <w:sz w:val="24"/>
          <w:szCs w:val="24"/>
          <w:highlight w:val="none"/>
          <w:lang w:val="en-US" w:eastAsia="zh-CN"/>
        </w:rPr>
        <w:t>6</w:t>
      </w:r>
      <w:r>
        <w:rPr>
          <w:rFonts w:hint="eastAsia" w:ascii="宋体" w:hAnsi="宋体" w:eastAsia="宋体" w:cs="仿宋_GB2312"/>
          <w:kern w:val="2"/>
          <w:sz w:val="24"/>
          <w:szCs w:val="24"/>
          <w:highlight w:val="none"/>
          <w:lang w:val="en-US" w:eastAsia="zh-CN"/>
        </w:rPr>
        <w:t>.4 技术文件</w:t>
      </w:r>
    </w:p>
    <w:p w14:paraId="0EEE40EA">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五</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14:paraId="70F94AFB">
      <w:pPr>
        <w:adjustRightInd w:val="0"/>
        <w:snapToGrid w:val="0"/>
        <w:spacing w:line="360" w:lineRule="auto"/>
        <w:ind w:firstLine="480" w:firstLineChars="200"/>
        <w:rPr>
          <w:rFonts w:hint="default" w:ascii="宋体" w:hAnsi="宋体" w:eastAsia="宋体" w:cs="仿宋_GB2312"/>
          <w:kern w:val="2"/>
          <w:sz w:val="24"/>
          <w:szCs w:val="24"/>
          <w:highlight w:val="none"/>
          <w:lang w:val="en-US" w:eastAsia="zh-CN"/>
        </w:rPr>
      </w:pPr>
      <w:r>
        <w:rPr>
          <w:rFonts w:hint="eastAsia" w:ascii="宋体" w:hAnsi="宋体" w:eastAsia="宋体" w:cs="仿宋_GB2312"/>
          <w:kern w:val="2"/>
          <w:sz w:val="24"/>
          <w:szCs w:val="24"/>
          <w:highlight w:val="none"/>
          <w:lang w:val="en-US" w:eastAsia="zh-CN"/>
        </w:rPr>
        <w:t>1.报价文件应编制一式</w:t>
      </w:r>
      <w:r>
        <w:rPr>
          <w:rFonts w:hint="eastAsia" w:ascii="宋体" w:hAnsi="宋体" w:cs="仿宋_GB2312"/>
          <w:kern w:val="2"/>
          <w:sz w:val="24"/>
          <w:szCs w:val="24"/>
          <w:highlight w:val="none"/>
          <w:lang w:val="en-US" w:eastAsia="zh-CN"/>
        </w:rPr>
        <w:t>两</w:t>
      </w:r>
      <w:r>
        <w:rPr>
          <w:rFonts w:hint="eastAsia" w:ascii="宋体" w:hAnsi="宋体" w:eastAsia="宋体" w:cs="仿宋_GB2312"/>
          <w:kern w:val="2"/>
          <w:sz w:val="24"/>
          <w:szCs w:val="24"/>
          <w:highlight w:val="none"/>
          <w:lang w:val="en-US" w:eastAsia="zh-CN"/>
        </w:rPr>
        <w:t>份（一份正本，</w:t>
      </w:r>
      <w:r>
        <w:rPr>
          <w:rFonts w:hint="eastAsia" w:ascii="宋体" w:hAnsi="宋体" w:cs="仿宋_GB2312"/>
          <w:kern w:val="2"/>
          <w:sz w:val="24"/>
          <w:szCs w:val="24"/>
          <w:highlight w:val="none"/>
          <w:lang w:val="en-US" w:eastAsia="zh-CN"/>
        </w:rPr>
        <w:t>一</w:t>
      </w:r>
      <w:r>
        <w:rPr>
          <w:rFonts w:hint="eastAsia" w:ascii="宋体" w:hAnsi="宋体" w:eastAsia="宋体" w:cs="仿宋_GB2312"/>
          <w:kern w:val="2"/>
          <w:sz w:val="24"/>
          <w:szCs w:val="24"/>
          <w:highlight w:val="none"/>
          <w:lang w:val="en-US" w:eastAsia="zh-CN"/>
        </w:rPr>
        <w:t>份副本，书本式胶装）</w:t>
      </w:r>
      <w:r>
        <w:rPr>
          <w:rFonts w:hint="eastAsia" w:ascii="宋体" w:hAnsi="宋体" w:cs="仿宋_GB2312"/>
          <w:kern w:val="2"/>
          <w:sz w:val="24"/>
          <w:szCs w:val="24"/>
          <w:highlight w:val="none"/>
          <w:lang w:val="en-US" w:eastAsia="zh-CN"/>
        </w:rPr>
        <w:t>，报价文件电子版存入U盘，一并递交。</w:t>
      </w:r>
      <w:bookmarkStart w:id="26" w:name="_GoBack"/>
      <w:bookmarkEnd w:id="26"/>
    </w:p>
    <w:p w14:paraId="0AB76F17">
      <w:pPr>
        <w:adjustRightInd w:val="0"/>
        <w:snapToGrid w:val="0"/>
        <w:spacing w:line="360" w:lineRule="auto"/>
        <w:ind w:firstLine="480" w:firstLineChars="200"/>
        <w:rPr>
          <w:rFonts w:hint="eastAsia" w:ascii="宋体" w:hAnsi="宋体" w:eastAsia="宋体" w:cs="仿宋_GB2312"/>
          <w:kern w:val="2"/>
          <w:sz w:val="24"/>
          <w:szCs w:val="24"/>
          <w:highlight w:val="none"/>
          <w:lang w:val="en-US" w:eastAsia="zh-CN"/>
        </w:rPr>
      </w:pPr>
      <w:r>
        <w:rPr>
          <w:rFonts w:hint="eastAsia" w:ascii="宋体" w:hAnsi="宋体" w:eastAsia="宋体" w:cs="仿宋_GB2312"/>
          <w:kern w:val="2"/>
          <w:sz w:val="24"/>
          <w:szCs w:val="24"/>
          <w:highlight w:val="none"/>
          <w:lang w:val="en-US" w:eastAsia="zh-CN"/>
        </w:rPr>
        <w:t>2.供应商应对报价文件进行密封封装（所有文件必须集中封装于一密封袋中，密封条上加盖公章）。</w:t>
      </w:r>
    </w:p>
    <w:p w14:paraId="524BA9A2">
      <w:pPr>
        <w:adjustRightInd w:val="0"/>
        <w:snapToGrid w:val="0"/>
        <w:spacing w:line="360" w:lineRule="auto"/>
        <w:ind w:firstLine="480" w:firstLineChars="200"/>
        <w:rPr>
          <w:rFonts w:hint="eastAsia" w:ascii="宋体" w:hAnsi="宋体" w:eastAsia="宋体" w:cs="仿宋_GB2312"/>
          <w:kern w:val="2"/>
          <w:sz w:val="24"/>
          <w:szCs w:val="24"/>
          <w:highlight w:val="none"/>
          <w:lang w:val="en-US" w:eastAsia="zh-CN"/>
        </w:rPr>
      </w:pPr>
      <w:r>
        <w:rPr>
          <w:rFonts w:hint="eastAsia" w:ascii="宋体" w:hAnsi="宋体" w:eastAsia="宋体" w:cs="仿宋_GB2312"/>
          <w:kern w:val="2"/>
          <w:sz w:val="24"/>
          <w:szCs w:val="24"/>
          <w:highlight w:val="none"/>
          <w:lang w:val="en-US" w:eastAsia="zh-CN"/>
        </w:rPr>
        <w:t>3.报价文件应于规定的递交截止时间前递交到规定的地点。</w:t>
      </w:r>
    </w:p>
    <w:p w14:paraId="726B2D69">
      <w:pPr>
        <w:adjustRightInd w:val="0"/>
        <w:snapToGrid w:val="0"/>
        <w:spacing w:line="360" w:lineRule="auto"/>
        <w:ind w:firstLine="480" w:firstLineChars="200"/>
        <w:rPr>
          <w:rFonts w:hint="eastAsia" w:ascii="宋体" w:hAnsi="宋体" w:eastAsia="宋体" w:cs="仿宋_GB2312"/>
          <w:kern w:val="2"/>
          <w:sz w:val="24"/>
          <w:szCs w:val="24"/>
          <w:highlight w:val="none"/>
          <w:lang w:val="en-US" w:eastAsia="zh-CN"/>
        </w:rPr>
      </w:pPr>
      <w:r>
        <w:rPr>
          <w:rFonts w:hint="eastAsia" w:ascii="宋体" w:hAnsi="宋体" w:eastAsia="宋体" w:cs="仿宋_GB2312"/>
          <w:kern w:val="2"/>
          <w:sz w:val="24"/>
          <w:szCs w:val="24"/>
          <w:highlight w:val="none"/>
          <w:lang w:val="en-US" w:eastAsia="zh-CN"/>
        </w:rPr>
        <w:t>4.迟交的询价响应文件</w:t>
      </w:r>
    </w:p>
    <w:p w14:paraId="534AF943">
      <w:pPr>
        <w:adjustRightInd w:val="0"/>
        <w:snapToGrid w:val="0"/>
        <w:spacing w:line="360" w:lineRule="auto"/>
        <w:ind w:firstLine="480" w:firstLineChars="200"/>
        <w:rPr>
          <w:rFonts w:hint="eastAsia" w:ascii="宋体" w:hAnsi="宋体" w:eastAsia="宋体" w:cs="仿宋_GB2312"/>
          <w:kern w:val="2"/>
          <w:sz w:val="24"/>
          <w:szCs w:val="24"/>
          <w:highlight w:val="none"/>
          <w:lang w:val="en-US" w:eastAsia="zh-CN"/>
        </w:rPr>
      </w:pPr>
      <w:r>
        <w:rPr>
          <w:rFonts w:hint="eastAsia" w:ascii="宋体" w:hAnsi="宋体" w:eastAsia="宋体" w:cs="仿宋_GB2312"/>
          <w:kern w:val="2"/>
          <w:sz w:val="24"/>
          <w:szCs w:val="24"/>
          <w:highlight w:val="none"/>
          <w:lang w:val="en-US" w:eastAsia="zh-CN"/>
        </w:rPr>
        <w:t>按《中华人民共和国政府采购法》的规定，将拒绝或原封退回在其规定的递交询价响应文件截止时间之后收到的任何询价响应文件。</w:t>
      </w:r>
    </w:p>
    <w:p w14:paraId="644CFAD2">
      <w:pPr>
        <w:adjustRightInd w:val="0"/>
        <w:snapToGrid w:val="0"/>
        <w:spacing w:line="360" w:lineRule="auto"/>
        <w:ind w:firstLine="480" w:firstLineChars="200"/>
        <w:rPr>
          <w:rFonts w:hint="default"/>
        </w:rPr>
      </w:pPr>
      <w:r>
        <w:rPr>
          <w:rFonts w:hint="eastAsia" w:ascii="宋体" w:hAnsi="宋体" w:eastAsia="宋体" w:cs="仿宋_GB2312"/>
          <w:kern w:val="2"/>
          <w:sz w:val="24"/>
          <w:szCs w:val="24"/>
          <w:highlight w:val="none"/>
          <w:lang w:val="en-US" w:eastAsia="zh-CN"/>
        </w:rPr>
        <w:t>5.供应商所提交的报价文件及U盘在询价结束后，无论成交与否都不退还。</w:t>
      </w:r>
    </w:p>
    <w:p w14:paraId="499B91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480"/>
        <w:jc w:val="left"/>
        <w:rPr>
          <w:rFonts w:hint="default" w:ascii="Tahoma" w:hAnsi="Tahoma" w:eastAsia="Tahoma" w:cs="Tahoma"/>
          <w:color w:val="333333"/>
          <w:sz w:val="21"/>
          <w:szCs w:val="21"/>
        </w:rPr>
      </w:pPr>
      <w:r>
        <w:rPr>
          <w:rStyle w:val="12"/>
          <w:rFonts w:hint="eastAsia" w:ascii="Tahoma" w:hAnsi="Tahoma" w:eastAsia="Tahoma" w:cs="Tahoma"/>
          <w:i w:val="0"/>
          <w:iCs w:val="0"/>
          <w:caps w:val="0"/>
          <w:color w:val="333333"/>
          <w:spacing w:val="0"/>
          <w:kern w:val="0"/>
          <w:sz w:val="24"/>
          <w:szCs w:val="24"/>
          <w:lang w:val="en-US" w:eastAsia="zh-CN" w:bidi="ar"/>
        </w:rPr>
        <w:t>六</w:t>
      </w:r>
      <w:r>
        <w:rPr>
          <w:rStyle w:val="12"/>
          <w:rFonts w:hint="default" w:ascii="Tahoma" w:hAnsi="Tahoma" w:eastAsia="Tahoma" w:cs="Tahoma"/>
          <w:i w:val="0"/>
          <w:iCs w:val="0"/>
          <w:caps w:val="0"/>
          <w:color w:val="333333"/>
          <w:spacing w:val="0"/>
          <w:kern w:val="0"/>
          <w:sz w:val="24"/>
          <w:szCs w:val="24"/>
          <w:lang w:val="en-US" w:eastAsia="zh-CN" w:bidi="ar"/>
        </w:rPr>
        <w:t>、开启</w:t>
      </w:r>
    </w:p>
    <w:p w14:paraId="511268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480"/>
        <w:jc w:val="left"/>
        <w:rPr>
          <w:rFonts w:hint="default" w:ascii="Tahoma" w:hAnsi="Tahoma" w:eastAsia="Tahoma" w:cs="Tahoma"/>
          <w:color w:val="333333"/>
          <w:sz w:val="21"/>
          <w:szCs w:val="21"/>
        </w:rPr>
      </w:pPr>
      <w:r>
        <w:rPr>
          <w:rFonts w:hint="default" w:ascii="Tahoma" w:hAnsi="Tahoma" w:eastAsia="Tahoma" w:cs="Tahoma"/>
          <w:i w:val="0"/>
          <w:iCs w:val="0"/>
          <w:caps w:val="0"/>
          <w:color w:val="333333"/>
          <w:spacing w:val="0"/>
          <w:kern w:val="0"/>
          <w:sz w:val="24"/>
          <w:szCs w:val="24"/>
          <w:lang w:val="en-US" w:eastAsia="zh-CN" w:bidi="ar"/>
        </w:rPr>
        <w:t>1.时间：2025年</w:t>
      </w:r>
      <w:r>
        <w:rPr>
          <w:rFonts w:hint="eastAsia" w:ascii="Tahoma" w:hAnsi="Tahoma" w:eastAsia="Tahoma" w:cs="Tahoma"/>
          <w:i w:val="0"/>
          <w:iCs w:val="0"/>
          <w:caps w:val="0"/>
          <w:color w:val="333333"/>
          <w:spacing w:val="0"/>
          <w:kern w:val="0"/>
          <w:sz w:val="24"/>
          <w:szCs w:val="24"/>
          <w:lang w:val="en-US" w:eastAsia="zh-CN" w:bidi="ar"/>
        </w:rPr>
        <w:t>7</w:t>
      </w:r>
      <w:r>
        <w:rPr>
          <w:rFonts w:hint="default" w:ascii="Tahoma" w:hAnsi="Tahoma" w:eastAsia="Tahoma" w:cs="Tahoma"/>
          <w:i w:val="0"/>
          <w:iCs w:val="0"/>
          <w:caps w:val="0"/>
          <w:color w:val="333333"/>
          <w:spacing w:val="0"/>
          <w:kern w:val="0"/>
          <w:sz w:val="24"/>
          <w:szCs w:val="24"/>
          <w:lang w:val="en-US" w:eastAsia="zh-CN" w:bidi="ar"/>
        </w:rPr>
        <w:t>月</w:t>
      </w:r>
      <w:r>
        <w:rPr>
          <w:rFonts w:hint="eastAsia" w:ascii="Tahoma" w:hAnsi="Tahoma" w:eastAsia="Tahoma" w:cs="Tahoma"/>
          <w:i w:val="0"/>
          <w:iCs w:val="0"/>
          <w:caps w:val="0"/>
          <w:color w:val="333333"/>
          <w:spacing w:val="0"/>
          <w:kern w:val="0"/>
          <w:sz w:val="24"/>
          <w:szCs w:val="24"/>
          <w:lang w:val="en-US" w:eastAsia="zh-CN" w:bidi="ar"/>
        </w:rPr>
        <w:t>7</w:t>
      </w:r>
      <w:r>
        <w:rPr>
          <w:rFonts w:hint="default" w:ascii="Tahoma" w:hAnsi="Tahoma" w:eastAsia="Tahoma" w:cs="Tahoma"/>
          <w:i w:val="0"/>
          <w:iCs w:val="0"/>
          <w:caps w:val="0"/>
          <w:color w:val="333333"/>
          <w:spacing w:val="0"/>
          <w:kern w:val="0"/>
          <w:sz w:val="24"/>
          <w:szCs w:val="24"/>
          <w:lang w:val="en-US" w:eastAsia="zh-CN" w:bidi="ar"/>
        </w:rPr>
        <w:t>日10点（北京时间）。</w:t>
      </w:r>
    </w:p>
    <w:p w14:paraId="1CC537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480"/>
        <w:jc w:val="left"/>
        <w:rPr>
          <w:rFonts w:hint="default" w:ascii="Tahoma" w:hAnsi="Tahoma" w:eastAsia="Tahoma" w:cs="Tahoma"/>
          <w:color w:val="333333"/>
          <w:sz w:val="21"/>
          <w:szCs w:val="21"/>
        </w:rPr>
      </w:pPr>
      <w:r>
        <w:rPr>
          <w:rFonts w:hint="default" w:ascii="Tahoma" w:hAnsi="Tahoma" w:eastAsia="Tahoma" w:cs="Tahoma"/>
          <w:i w:val="0"/>
          <w:iCs w:val="0"/>
          <w:caps w:val="0"/>
          <w:color w:val="333333"/>
          <w:spacing w:val="0"/>
          <w:kern w:val="0"/>
          <w:sz w:val="24"/>
          <w:szCs w:val="24"/>
          <w:lang w:val="en-US" w:eastAsia="zh-CN" w:bidi="ar"/>
        </w:rPr>
        <w:t>2.地点：武汉商学院</w:t>
      </w:r>
      <w:r>
        <w:rPr>
          <w:rFonts w:hint="eastAsia" w:ascii="宋体" w:hAnsi="宋体" w:eastAsia="宋体" w:cs="宋体"/>
          <w:i w:val="0"/>
          <w:iCs w:val="0"/>
          <w:caps w:val="0"/>
          <w:color w:val="333333"/>
          <w:spacing w:val="0"/>
          <w:kern w:val="0"/>
          <w:sz w:val="24"/>
          <w:szCs w:val="24"/>
          <w:lang w:val="en-US" w:eastAsia="zh-CN" w:bidi="ar"/>
        </w:rPr>
        <w:t>南区117栋107</w:t>
      </w:r>
      <w:r>
        <w:rPr>
          <w:rFonts w:hint="default" w:ascii="Tahoma" w:hAnsi="Tahoma" w:eastAsia="Tahoma" w:cs="Tahoma"/>
          <w:i w:val="0"/>
          <w:iCs w:val="0"/>
          <w:caps w:val="0"/>
          <w:color w:val="333333"/>
          <w:spacing w:val="0"/>
          <w:kern w:val="0"/>
          <w:sz w:val="24"/>
          <w:szCs w:val="24"/>
          <w:lang w:val="en-US" w:eastAsia="zh-CN" w:bidi="ar"/>
        </w:rPr>
        <w:t>会议室。</w:t>
      </w:r>
    </w:p>
    <w:p w14:paraId="1C3E89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480"/>
        <w:jc w:val="left"/>
        <w:rPr>
          <w:rFonts w:hint="default" w:ascii="Tahoma" w:hAnsi="Tahoma" w:eastAsia="Tahoma" w:cs="Tahoma"/>
          <w:color w:val="333333"/>
          <w:sz w:val="21"/>
          <w:szCs w:val="21"/>
        </w:rPr>
      </w:pPr>
      <w:r>
        <w:rPr>
          <w:rStyle w:val="12"/>
          <w:rFonts w:hint="eastAsia" w:ascii="Tahoma" w:hAnsi="Tahoma" w:eastAsia="Tahoma" w:cs="Tahoma"/>
          <w:i w:val="0"/>
          <w:iCs w:val="0"/>
          <w:caps w:val="0"/>
          <w:color w:val="333333"/>
          <w:spacing w:val="0"/>
          <w:kern w:val="0"/>
          <w:sz w:val="24"/>
          <w:szCs w:val="24"/>
          <w:lang w:val="en-US" w:eastAsia="zh-CN" w:bidi="ar"/>
        </w:rPr>
        <w:t>七</w:t>
      </w:r>
      <w:r>
        <w:rPr>
          <w:rStyle w:val="12"/>
          <w:rFonts w:hint="default" w:ascii="Tahoma" w:hAnsi="Tahoma" w:eastAsia="Tahoma" w:cs="Tahoma"/>
          <w:i w:val="0"/>
          <w:iCs w:val="0"/>
          <w:caps w:val="0"/>
          <w:color w:val="333333"/>
          <w:spacing w:val="0"/>
          <w:kern w:val="0"/>
          <w:sz w:val="24"/>
          <w:szCs w:val="24"/>
          <w:lang w:val="en-US" w:eastAsia="zh-CN" w:bidi="ar"/>
        </w:rPr>
        <w:t>、公告期限</w:t>
      </w:r>
    </w:p>
    <w:p w14:paraId="55EE3A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480"/>
        <w:jc w:val="left"/>
        <w:rPr>
          <w:rFonts w:hint="default" w:ascii="Tahoma" w:hAnsi="Tahoma" w:eastAsia="Tahoma" w:cs="Tahoma"/>
          <w:color w:val="333333"/>
          <w:sz w:val="21"/>
          <w:szCs w:val="21"/>
        </w:rPr>
      </w:pPr>
      <w:r>
        <w:rPr>
          <w:rFonts w:hint="default" w:ascii="Tahoma" w:hAnsi="Tahoma" w:eastAsia="Tahoma" w:cs="Tahoma"/>
          <w:i w:val="0"/>
          <w:iCs w:val="0"/>
          <w:caps w:val="0"/>
          <w:color w:val="333333"/>
          <w:spacing w:val="0"/>
          <w:kern w:val="0"/>
          <w:sz w:val="24"/>
          <w:szCs w:val="24"/>
          <w:lang w:val="en-US" w:eastAsia="zh-CN" w:bidi="ar"/>
        </w:rPr>
        <w:t>自本公告发布之日起3个工作日。</w:t>
      </w:r>
    </w:p>
    <w:p w14:paraId="4BDD86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480"/>
        <w:jc w:val="left"/>
        <w:rPr>
          <w:rFonts w:hint="default" w:ascii="Tahoma" w:hAnsi="Tahoma" w:eastAsia="Tahoma" w:cs="Tahoma"/>
          <w:color w:val="333333"/>
          <w:sz w:val="21"/>
          <w:szCs w:val="21"/>
        </w:rPr>
      </w:pPr>
      <w:r>
        <w:rPr>
          <w:rStyle w:val="12"/>
          <w:rFonts w:hint="eastAsia" w:ascii="Tahoma" w:hAnsi="Tahoma" w:eastAsia="Tahoma" w:cs="Tahoma"/>
          <w:i w:val="0"/>
          <w:iCs w:val="0"/>
          <w:caps w:val="0"/>
          <w:color w:val="333333"/>
          <w:spacing w:val="0"/>
          <w:kern w:val="0"/>
          <w:sz w:val="24"/>
          <w:szCs w:val="24"/>
          <w:lang w:val="en-US" w:eastAsia="zh-CN" w:bidi="ar"/>
        </w:rPr>
        <w:t>八</w:t>
      </w:r>
      <w:r>
        <w:rPr>
          <w:rStyle w:val="12"/>
          <w:rFonts w:hint="default" w:ascii="Tahoma" w:hAnsi="Tahoma" w:eastAsia="Tahoma" w:cs="Tahoma"/>
          <w:i w:val="0"/>
          <w:iCs w:val="0"/>
          <w:caps w:val="0"/>
          <w:color w:val="333333"/>
          <w:spacing w:val="0"/>
          <w:kern w:val="0"/>
          <w:sz w:val="24"/>
          <w:szCs w:val="24"/>
          <w:lang w:val="en-US" w:eastAsia="zh-CN" w:bidi="ar"/>
        </w:rPr>
        <w:t>、采购人联系方式</w:t>
      </w:r>
    </w:p>
    <w:p w14:paraId="2C5978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480"/>
        <w:jc w:val="left"/>
        <w:rPr>
          <w:rFonts w:hint="default" w:ascii="Tahoma" w:hAnsi="Tahoma" w:eastAsia="Tahoma" w:cs="Tahoma"/>
          <w:color w:val="333333"/>
          <w:sz w:val="21"/>
          <w:szCs w:val="21"/>
        </w:rPr>
      </w:pPr>
      <w:r>
        <w:rPr>
          <w:rFonts w:hint="default" w:ascii="Tahoma" w:hAnsi="Tahoma" w:eastAsia="Tahoma" w:cs="Tahoma"/>
          <w:i w:val="0"/>
          <w:iCs w:val="0"/>
          <w:caps w:val="0"/>
          <w:color w:val="333333"/>
          <w:spacing w:val="0"/>
          <w:kern w:val="0"/>
          <w:sz w:val="24"/>
          <w:szCs w:val="24"/>
          <w:lang w:val="en-US" w:eastAsia="zh-CN" w:bidi="ar"/>
        </w:rPr>
        <w:t>名称：武汉商学院后勤与基建管理处</w:t>
      </w:r>
    </w:p>
    <w:p w14:paraId="361EF0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480"/>
        <w:jc w:val="left"/>
        <w:rPr>
          <w:rFonts w:hint="default" w:ascii="Tahoma" w:hAnsi="Tahoma" w:eastAsia="Tahoma" w:cs="Tahoma"/>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地址：武汉经济技术开发区东风大道816号</w:t>
      </w:r>
    </w:p>
    <w:p w14:paraId="29EB19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480"/>
        <w:jc w:val="left"/>
        <w:rPr>
          <w:rFonts w:hint="default" w:ascii="Tahoma" w:hAnsi="Tahoma" w:eastAsia="Tahoma" w:cs="Tahoma"/>
          <w:color w:val="333333"/>
          <w:sz w:val="21"/>
          <w:szCs w:val="21"/>
        </w:rPr>
      </w:pPr>
      <w:r>
        <w:rPr>
          <w:rFonts w:hint="default" w:ascii="Tahoma" w:hAnsi="Tahoma" w:eastAsia="Tahoma" w:cs="Tahoma"/>
          <w:i w:val="0"/>
          <w:iCs w:val="0"/>
          <w:caps w:val="0"/>
          <w:color w:val="333333"/>
          <w:spacing w:val="0"/>
          <w:kern w:val="0"/>
          <w:sz w:val="24"/>
          <w:szCs w:val="24"/>
          <w:lang w:val="en-US" w:eastAsia="zh-CN" w:bidi="ar"/>
        </w:rPr>
        <w:t>联系人： </w:t>
      </w:r>
      <w:r>
        <w:rPr>
          <w:rFonts w:hint="eastAsia" w:ascii="宋体" w:hAnsi="宋体" w:eastAsia="宋体" w:cs="宋体"/>
          <w:i w:val="0"/>
          <w:iCs w:val="0"/>
          <w:caps w:val="0"/>
          <w:color w:val="333333"/>
          <w:spacing w:val="0"/>
          <w:kern w:val="0"/>
          <w:sz w:val="24"/>
          <w:szCs w:val="24"/>
          <w:lang w:val="en-US" w:eastAsia="zh-CN" w:bidi="ar"/>
        </w:rPr>
        <w:t>黄老师</w:t>
      </w:r>
    </w:p>
    <w:p w14:paraId="47E0B2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315" w:lineRule="atLeast"/>
        <w:ind w:left="0" w:right="0" w:firstLine="480"/>
        <w:jc w:val="left"/>
        <w:rPr>
          <w:rFonts w:hint="default" w:ascii="Tahoma" w:hAnsi="Tahoma" w:eastAsia="Tahoma" w:cs="Tahoma"/>
          <w:color w:val="333333"/>
          <w:sz w:val="21"/>
          <w:szCs w:val="21"/>
        </w:rPr>
      </w:pPr>
      <w:r>
        <w:rPr>
          <w:rFonts w:hint="eastAsia" w:ascii="宋体" w:hAnsi="宋体" w:eastAsia="宋体" w:cs="宋体"/>
          <w:i w:val="0"/>
          <w:iCs w:val="0"/>
          <w:caps w:val="0"/>
          <w:color w:val="333333"/>
          <w:spacing w:val="0"/>
          <w:kern w:val="0"/>
          <w:sz w:val="24"/>
          <w:szCs w:val="24"/>
          <w:lang w:val="en-US" w:eastAsia="zh-CN" w:bidi="ar"/>
        </w:rPr>
        <w:t>联系方式：027-84293897</w:t>
      </w:r>
    </w:p>
    <w:p w14:paraId="785BDCDC">
      <w:pPr>
        <w:rPr>
          <w:rFonts w:hint="default"/>
          <w:lang w:val="en-US" w:eastAsia="zh-CN"/>
        </w:rPr>
      </w:pPr>
    </w:p>
    <w:bookmarkEnd w:id="0"/>
    <w:p w14:paraId="545BD0AF">
      <w:pPr>
        <w:adjustRightInd w:val="0"/>
        <w:snapToGrid w:val="0"/>
        <w:spacing w:line="360" w:lineRule="auto"/>
        <w:rPr>
          <w:rFonts w:hint="eastAsia" w:ascii="宋体" w:hAnsi="宋体" w:eastAsia="宋体" w:cs="仿宋_GB2312"/>
          <w:kern w:val="2"/>
          <w:sz w:val="24"/>
          <w:szCs w:val="24"/>
          <w:highlight w:val="none"/>
          <w:lang w:val="en-US" w:eastAsia="zh-CN"/>
        </w:rPr>
      </w:pPr>
    </w:p>
    <w:p w14:paraId="71BE92B9">
      <w:pPr>
        <w:pStyle w:val="3"/>
        <w:autoSpaceDE/>
        <w:autoSpaceDN/>
        <w:adjustRightInd/>
        <w:spacing w:before="0" w:after="0" w:line="360" w:lineRule="auto"/>
        <w:ind w:firstLine="2241" w:firstLineChars="700"/>
        <w:jc w:val="both"/>
        <w:rPr>
          <w:rFonts w:ascii="微软雅黑" w:hAnsi="微软雅黑" w:eastAsia="微软雅黑" w:cs="微软雅黑"/>
          <w:bCs/>
          <w:kern w:val="44"/>
          <w:sz w:val="32"/>
          <w:szCs w:val="32"/>
          <w:highlight w:val="none"/>
        </w:rPr>
      </w:pPr>
      <w:bookmarkStart w:id="1" w:name="_Toc131491110"/>
      <w:bookmarkStart w:id="2" w:name="_Toc130283090"/>
      <w:bookmarkStart w:id="3" w:name="_Toc3763"/>
      <w:r>
        <w:rPr>
          <w:rFonts w:ascii="微软雅黑" w:hAnsi="微软雅黑" w:eastAsia="微软雅黑" w:cs="微软雅黑"/>
          <w:bCs/>
          <w:kern w:val="44"/>
          <w:sz w:val="32"/>
          <w:szCs w:val="32"/>
          <w:highlight w:val="none"/>
        </w:rPr>
        <w:t>第</w:t>
      </w:r>
      <w:r>
        <w:rPr>
          <w:rFonts w:hint="eastAsia" w:ascii="微软雅黑" w:hAnsi="微软雅黑" w:eastAsia="微软雅黑" w:cs="微软雅黑"/>
          <w:bCs/>
          <w:kern w:val="44"/>
          <w:sz w:val="32"/>
          <w:szCs w:val="32"/>
          <w:highlight w:val="none"/>
          <w:lang w:val="en-US" w:eastAsia="zh-CN"/>
        </w:rPr>
        <w:t>二</w:t>
      </w:r>
      <w:r>
        <w:rPr>
          <w:rFonts w:ascii="微软雅黑" w:hAnsi="微软雅黑" w:eastAsia="微软雅黑" w:cs="微软雅黑"/>
          <w:bCs/>
          <w:kern w:val="44"/>
          <w:sz w:val="32"/>
          <w:szCs w:val="32"/>
          <w:highlight w:val="none"/>
        </w:rPr>
        <w:t xml:space="preserve">章 </w:t>
      </w:r>
      <w:bookmarkEnd w:id="1"/>
      <w:bookmarkEnd w:id="2"/>
      <w:bookmarkStart w:id="4" w:name="_Toc511894513"/>
      <w:bookmarkStart w:id="5" w:name="_Toc61280397"/>
      <w:r>
        <w:rPr>
          <w:rFonts w:ascii="微软雅黑" w:hAnsi="微软雅黑" w:eastAsia="微软雅黑" w:cs="微软雅黑"/>
          <w:bCs/>
          <w:kern w:val="44"/>
          <w:sz w:val="32"/>
          <w:szCs w:val="32"/>
          <w:highlight w:val="none"/>
        </w:rPr>
        <w:t>资格审查方法及标准</w:t>
      </w:r>
      <w:bookmarkEnd w:id="3"/>
      <w:bookmarkEnd w:id="4"/>
      <w:bookmarkEnd w:id="5"/>
    </w:p>
    <w:p w14:paraId="475AB415">
      <w:pPr>
        <w:pStyle w:val="4"/>
        <w:numPr>
          <w:ilvl w:val="0"/>
          <w:numId w:val="1"/>
        </w:numPr>
        <w:spacing w:before="0" w:after="0" w:line="360" w:lineRule="auto"/>
        <w:ind w:left="616" w:hanging="616"/>
        <w:jc w:val="left"/>
        <w:rPr>
          <w:rFonts w:ascii="宋体" w:hAnsi="宋体" w:eastAsia="宋体"/>
          <w:bCs w:val="0"/>
          <w:sz w:val="24"/>
          <w:szCs w:val="24"/>
          <w:highlight w:val="none"/>
          <w:lang w:val="zh-CN"/>
        </w:rPr>
      </w:pPr>
      <w:bookmarkStart w:id="6" w:name="_Toc494561958"/>
      <w:bookmarkStart w:id="7" w:name="_Toc511894514"/>
      <w:bookmarkStart w:id="8" w:name="_Toc61280398"/>
      <w:bookmarkStart w:id="9" w:name="_Toc10214"/>
      <w:r>
        <w:rPr>
          <w:rFonts w:hint="eastAsia" w:ascii="宋体" w:hAnsi="宋体" w:eastAsia="宋体"/>
          <w:bCs w:val="0"/>
          <w:sz w:val="24"/>
          <w:szCs w:val="24"/>
          <w:highlight w:val="none"/>
          <w:lang w:val="zh-CN"/>
        </w:rPr>
        <w:t>资格审查方法</w:t>
      </w:r>
      <w:bookmarkEnd w:id="6"/>
      <w:bookmarkEnd w:id="7"/>
      <w:bookmarkEnd w:id="8"/>
      <w:bookmarkEnd w:id="9"/>
    </w:p>
    <w:p w14:paraId="2E85C89E">
      <w:pPr>
        <w:spacing w:line="360" w:lineRule="auto"/>
        <w:ind w:firstLine="420"/>
        <w:rPr>
          <w:rFonts w:ascii="宋体" w:hAnsi="宋体"/>
          <w:bCs/>
          <w:color w:val="0D0D0D"/>
          <w:sz w:val="24"/>
          <w:highlight w:val="none"/>
          <w:lang w:val="zh-CN"/>
        </w:rPr>
      </w:pPr>
      <w:r>
        <w:rPr>
          <w:rFonts w:hint="eastAsia" w:ascii="宋体" w:hAnsi="宋体"/>
          <w:bCs/>
          <w:color w:val="0D0D0D"/>
          <w:sz w:val="24"/>
          <w:highlight w:val="none"/>
          <w:lang w:val="zh-CN"/>
        </w:rPr>
        <w:t>响应文件开启后，评审委员会对供应商的资格进行审查，以确定供应商资格是否合格。</w:t>
      </w:r>
    </w:p>
    <w:p w14:paraId="70E72032">
      <w:pPr>
        <w:pStyle w:val="4"/>
        <w:numPr>
          <w:ilvl w:val="0"/>
          <w:numId w:val="1"/>
        </w:numPr>
        <w:spacing w:before="0" w:after="0" w:line="360" w:lineRule="auto"/>
        <w:ind w:left="616" w:hanging="616"/>
        <w:jc w:val="left"/>
        <w:rPr>
          <w:rFonts w:ascii="宋体" w:hAnsi="宋体" w:eastAsia="宋体"/>
          <w:bCs w:val="0"/>
          <w:sz w:val="24"/>
          <w:szCs w:val="24"/>
          <w:highlight w:val="none"/>
          <w:lang w:val="zh-CN"/>
        </w:rPr>
      </w:pPr>
      <w:bookmarkStart w:id="10" w:name="_Toc61280399"/>
      <w:bookmarkStart w:id="11" w:name="_Toc511894515"/>
      <w:bookmarkStart w:id="12" w:name="_Toc494561959"/>
      <w:bookmarkStart w:id="13" w:name="_Toc939"/>
      <w:r>
        <w:rPr>
          <w:rFonts w:hint="eastAsia" w:ascii="宋体" w:hAnsi="宋体" w:eastAsia="宋体"/>
          <w:bCs w:val="0"/>
          <w:sz w:val="24"/>
          <w:szCs w:val="24"/>
          <w:highlight w:val="none"/>
          <w:lang w:val="zh-CN"/>
        </w:rPr>
        <w:t>资格审查标准</w:t>
      </w:r>
      <w:bookmarkEnd w:id="10"/>
      <w:bookmarkEnd w:id="11"/>
      <w:bookmarkEnd w:id="12"/>
      <w:bookmarkEnd w:id="13"/>
    </w:p>
    <w:p w14:paraId="221FD89B">
      <w:pPr>
        <w:numPr>
          <w:ilvl w:val="0"/>
          <w:numId w:val="2"/>
        </w:numPr>
        <w:tabs>
          <w:tab w:val="left" w:pos="1098"/>
        </w:tabs>
        <w:spacing w:line="360" w:lineRule="auto"/>
        <w:ind w:left="14" w:firstLine="238"/>
        <w:rPr>
          <w:rFonts w:ascii="宋体" w:hAnsi="宋体"/>
          <w:b/>
          <w:sz w:val="24"/>
          <w:szCs w:val="24"/>
          <w:highlight w:val="none"/>
          <w:lang w:val="zh-CN"/>
        </w:rPr>
      </w:pPr>
      <w:r>
        <w:rPr>
          <w:rFonts w:hint="eastAsia" w:ascii="宋体" w:hAnsi="宋体"/>
          <w:b/>
          <w:sz w:val="24"/>
          <w:szCs w:val="24"/>
          <w:highlight w:val="none"/>
          <w:lang w:val="zh-CN"/>
        </w:rPr>
        <w:t>资格审查表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640"/>
        <w:gridCol w:w="2690"/>
        <w:gridCol w:w="5198"/>
      </w:tblGrid>
      <w:tr w14:paraId="032E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5" w:type="pct"/>
            <w:noWrap w:val="0"/>
            <w:vAlign w:val="center"/>
          </w:tcPr>
          <w:p w14:paraId="35D5D0D3">
            <w:pPr>
              <w:widowControl/>
              <w:adjustRightInd w:val="0"/>
              <w:snapToGrid w:val="0"/>
              <w:jc w:val="center"/>
              <w:rPr>
                <w:rFonts w:hint="eastAsia" w:ascii="宋体" w:hAnsi="宋体" w:cs="宋体"/>
                <w:b/>
                <w:bCs/>
                <w:sz w:val="21"/>
                <w:szCs w:val="22"/>
                <w:highlight w:val="none"/>
              </w:rPr>
            </w:pPr>
            <w:r>
              <w:rPr>
                <w:rFonts w:hint="eastAsia" w:ascii="宋体" w:hAnsi="宋体" w:cs="宋体"/>
                <w:b/>
                <w:bCs/>
                <w:sz w:val="21"/>
                <w:szCs w:val="22"/>
                <w:highlight w:val="none"/>
              </w:rPr>
              <w:t>序号</w:t>
            </w:r>
          </w:p>
        </w:tc>
        <w:tc>
          <w:tcPr>
            <w:tcW w:w="1577" w:type="pct"/>
            <w:noWrap w:val="0"/>
            <w:vAlign w:val="center"/>
          </w:tcPr>
          <w:p w14:paraId="368B3598">
            <w:pPr>
              <w:adjustRightInd w:val="0"/>
              <w:snapToGrid w:val="0"/>
              <w:jc w:val="center"/>
              <w:rPr>
                <w:rFonts w:hint="eastAsia" w:ascii="宋体" w:hAnsi="宋体" w:cs="宋体"/>
                <w:b/>
                <w:bCs/>
                <w:sz w:val="21"/>
                <w:szCs w:val="22"/>
                <w:highlight w:val="none"/>
              </w:rPr>
            </w:pPr>
            <w:r>
              <w:rPr>
                <w:rFonts w:hint="eastAsia" w:ascii="宋体" w:hAnsi="宋体" w:cs="宋体"/>
                <w:b/>
                <w:bCs/>
                <w:sz w:val="21"/>
                <w:szCs w:val="22"/>
                <w:highlight w:val="none"/>
              </w:rPr>
              <w:t>资格要求</w:t>
            </w:r>
          </w:p>
        </w:tc>
        <w:tc>
          <w:tcPr>
            <w:tcW w:w="3047" w:type="pct"/>
            <w:noWrap w:val="0"/>
            <w:vAlign w:val="center"/>
          </w:tcPr>
          <w:p w14:paraId="6C7B40FF">
            <w:pPr>
              <w:widowControl/>
              <w:adjustRightInd w:val="0"/>
              <w:snapToGrid w:val="0"/>
              <w:jc w:val="center"/>
              <w:rPr>
                <w:rFonts w:hint="eastAsia" w:ascii="宋体" w:hAnsi="宋体" w:cs="宋体"/>
                <w:b/>
                <w:bCs/>
                <w:sz w:val="21"/>
                <w:szCs w:val="22"/>
                <w:highlight w:val="none"/>
              </w:rPr>
            </w:pPr>
            <w:r>
              <w:rPr>
                <w:rFonts w:hint="eastAsia" w:ascii="宋体" w:hAnsi="宋体" w:cs="宋体"/>
                <w:b/>
                <w:bCs/>
                <w:sz w:val="21"/>
                <w:szCs w:val="22"/>
                <w:highlight w:val="none"/>
              </w:rPr>
              <w:t>须提供的资料</w:t>
            </w:r>
          </w:p>
        </w:tc>
      </w:tr>
      <w:tr w14:paraId="644C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5" w:type="pct"/>
            <w:noWrap w:val="0"/>
            <w:vAlign w:val="center"/>
          </w:tcPr>
          <w:p w14:paraId="08E02C2F">
            <w:pPr>
              <w:widowControl/>
              <w:numPr>
                <w:ilvl w:val="0"/>
                <w:numId w:val="3"/>
              </w:numPr>
              <w:adjustRightInd w:val="0"/>
              <w:snapToGrid w:val="0"/>
              <w:rPr>
                <w:rFonts w:hint="eastAsia" w:ascii="宋体" w:hAnsi="宋体" w:cs="宋体"/>
                <w:sz w:val="21"/>
                <w:szCs w:val="22"/>
                <w:highlight w:val="none"/>
              </w:rPr>
            </w:pPr>
          </w:p>
        </w:tc>
        <w:tc>
          <w:tcPr>
            <w:tcW w:w="1577" w:type="pct"/>
            <w:noWrap w:val="0"/>
            <w:vAlign w:val="center"/>
          </w:tcPr>
          <w:p w14:paraId="40F4B54C">
            <w:pPr>
              <w:widowControl/>
              <w:adjustRightInd w:val="0"/>
              <w:snapToGrid w:val="0"/>
              <w:rPr>
                <w:rFonts w:hint="eastAsia" w:ascii="宋体" w:hAnsi="宋体" w:cs="宋体"/>
                <w:sz w:val="21"/>
                <w:szCs w:val="21"/>
                <w:highlight w:val="none"/>
              </w:rPr>
            </w:pPr>
            <w:r>
              <w:rPr>
                <w:rFonts w:hint="eastAsia" w:ascii="宋体" w:hAnsi="宋体" w:cs="宋体"/>
                <w:sz w:val="21"/>
                <w:szCs w:val="21"/>
                <w:highlight w:val="none"/>
              </w:rPr>
              <w:t>未被列入失信被执行人、重大税收违法失信主体，未被列入政府采购严重违法失信行为记录名单。</w:t>
            </w:r>
          </w:p>
        </w:tc>
        <w:tc>
          <w:tcPr>
            <w:tcW w:w="3047" w:type="pct"/>
            <w:noWrap w:val="0"/>
            <w:vAlign w:val="center"/>
          </w:tcPr>
          <w:p w14:paraId="389465F6">
            <w:pPr>
              <w:widowControl/>
              <w:adjustRightInd w:val="0"/>
              <w:snapToGrid w:val="0"/>
              <w:rPr>
                <w:rFonts w:hint="eastAsia"/>
                <w:sz w:val="21"/>
                <w:szCs w:val="21"/>
                <w:highlight w:val="none"/>
                <w:lang w:val="hr-HR"/>
              </w:rPr>
            </w:pPr>
            <w:r>
              <w:rPr>
                <w:rFonts w:ascii="宋体" w:hAnsi="宋体"/>
                <w:sz w:val="21"/>
                <w:szCs w:val="21"/>
                <w:highlight w:val="none"/>
                <w:lang w:val="hr-HR"/>
              </w:rPr>
              <w:t>以采购人在</w:t>
            </w:r>
            <w:r>
              <w:rPr>
                <w:rFonts w:hint="eastAsia" w:ascii="宋体" w:hAnsi="宋体"/>
                <w:sz w:val="21"/>
                <w:szCs w:val="21"/>
                <w:highlight w:val="none"/>
                <w:lang w:val="hr-HR"/>
              </w:rPr>
              <w:t>递交响应文件</w:t>
            </w:r>
            <w:r>
              <w:rPr>
                <w:rFonts w:ascii="宋体" w:hAnsi="宋体"/>
                <w:sz w:val="21"/>
                <w:szCs w:val="21"/>
                <w:highlight w:val="none"/>
                <w:lang w:val="hr-HR"/>
              </w:rPr>
              <w:t>截止日在“信用中国”网站（www.creditchina.gov.cn）及中国政府采购网(www.ccgp.gov.cn)查询</w:t>
            </w:r>
            <w:r>
              <w:rPr>
                <w:rFonts w:hint="eastAsia" w:ascii="宋体" w:hAnsi="宋体"/>
                <w:sz w:val="21"/>
                <w:szCs w:val="21"/>
                <w:highlight w:val="none"/>
                <w:lang w:val="hr-HR"/>
              </w:rPr>
              <w:t>的</w:t>
            </w:r>
            <w:r>
              <w:rPr>
                <w:rFonts w:hint="eastAsia" w:ascii="宋体" w:hAnsi="宋体"/>
                <w:sz w:val="21"/>
                <w:szCs w:val="21"/>
                <w:highlight w:val="none"/>
                <w:lang w:val="hr-HR" w:eastAsia="zh-CN"/>
              </w:rPr>
              <w:t>供应商</w:t>
            </w:r>
            <w:r>
              <w:rPr>
                <w:rFonts w:hint="eastAsia" w:ascii="宋体" w:hAnsi="宋体"/>
                <w:sz w:val="21"/>
                <w:szCs w:val="21"/>
                <w:highlight w:val="none"/>
                <w:lang w:val="hr-HR"/>
              </w:rPr>
              <w:t>参加</w:t>
            </w:r>
            <w:r>
              <w:rPr>
                <w:rFonts w:hint="eastAsia" w:ascii="宋体" w:hAnsi="宋体"/>
                <w:sz w:val="21"/>
                <w:szCs w:val="21"/>
                <w:highlight w:val="none"/>
                <w:lang w:val="en-US" w:eastAsia="zh-CN"/>
              </w:rPr>
              <w:t>采购</w:t>
            </w:r>
            <w:r>
              <w:rPr>
                <w:rFonts w:hint="eastAsia" w:ascii="宋体" w:hAnsi="宋体"/>
                <w:sz w:val="21"/>
                <w:szCs w:val="21"/>
                <w:highlight w:val="none"/>
                <w:lang w:val="hr-HR"/>
              </w:rPr>
              <w:t>活动前三年内的</w:t>
            </w:r>
            <w:r>
              <w:rPr>
                <w:rFonts w:ascii="宋体" w:hAnsi="宋体"/>
                <w:sz w:val="21"/>
                <w:szCs w:val="21"/>
                <w:highlight w:val="none"/>
                <w:lang w:val="hr-HR"/>
              </w:rPr>
              <w:t>结果为准（采购人对信用信息查询记录和证据截图或下载存档）</w:t>
            </w:r>
            <w:r>
              <w:rPr>
                <w:rFonts w:hint="eastAsia" w:ascii="宋体" w:hAnsi="宋体"/>
                <w:sz w:val="21"/>
                <w:szCs w:val="21"/>
                <w:highlight w:val="none"/>
                <w:lang w:val="hr-HR"/>
              </w:rPr>
              <w:t>。</w:t>
            </w:r>
          </w:p>
        </w:tc>
      </w:tr>
    </w:tbl>
    <w:p w14:paraId="2CFE1596">
      <w:pPr>
        <w:rPr>
          <w:rFonts w:hint="eastAsia" w:ascii="宋体" w:hAnsi="宋体"/>
          <w:sz w:val="21"/>
          <w:szCs w:val="21"/>
          <w:highlight w:val="none"/>
        </w:rPr>
      </w:pPr>
      <w:r>
        <w:rPr>
          <w:rFonts w:hint="eastAsia" w:ascii="宋体" w:hAnsi="宋体"/>
          <w:sz w:val="21"/>
          <w:szCs w:val="21"/>
          <w:highlight w:val="none"/>
        </w:rPr>
        <w:t>备注：</w:t>
      </w:r>
    </w:p>
    <w:p w14:paraId="4CD6A108">
      <w:pPr>
        <w:snapToGrid w:val="0"/>
        <w:spacing w:line="300" w:lineRule="auto"/>
        <w:ind w:firstLine="420" w:firstLineChars="200"/>
        <w:rPr>
          <w:rFonts w:ascii="宋体" w:hAnsi="宋体"/>
          <w:sz w:val="21"/>
          <w:szCs w:val="21"/>
          <w:highlight w:val="none"/>
        </w:rPr>
      </w:pPr>
      <w:r>
        <w:rPr>
          <w:rFonts w:hint="eastAsia" w:ascii="宋体" w:hAnsi="宋体"/>
          <w:sz w:val="21"/>
          <w:szCs w:val="21"/>
          <w:highlight w:val="none"/>
        </w:rPr>
        <w:t>（1）所有证书、证明文件包括按要求提供的官网截图必须是真实可查证的，须注明资料来源。资格证明文件应为原件的扫描件或复印件，</w:t>
      </w:r>
      <w:r>
        <w:rPr>
          <w:rFonts w:hint="eastAsia" w:ascii="宋体" w:hAnsi="宋体"/>
          <w:sz w:val="21"/>
          <w:szCs w:val="21"/>
          <w:highlight w:val="none"/>
          <w:lang w:eastAsia="zh-CN"/>
        </w:rPr>
        <w:t>响应文件</w:t>
      </w:r>
      <w:r>
        <w:rPr>
          <w:rFonts w:hint="eastAsia" w:ascii="宋体" w:hAnsi="宋体"/>
          <w:sz w:val="21"/>
          <w:szCs w:val="21"/>
          <w:highlight w:val="none"/>
        </w:rPr>
        <w:t>中须编入清晰的扫描件或复印件。所有证明材料须清晰可辨认，如因证明材料模糊无法辨认，缺页、漏页导致无法进行评审认定的责任由</w:t>
      </w:r>
      <w:r>
        <w:rPr>
          <w:rFonts w:hint="eastAsia" w:ascii="宋体" w:hAnsi="宋体"/>
          <w:sz w:val="21"/>
          <w:szCs w:val="21"/>
          <w:highlight w:val="none"/>
          <w:lang w:eastAsia="zh-CN"/>
        </w:rPr>
        <w:t>供应商</w:t>
      </w:r>
      <w:r>
        <w:rPr>
          <w:rFonts w:hint="eastAsia" w:ascii="宋体" w:hAnsi="宋体"/>
          <w:sz w:val="21"/>
          <w:szCs w:val="21"/>
          <w:highlight w:val="none"/>
        </w:rPr>
        <w:t>自负。如发现弄虚作假将按照有关规定严肃处理。</w:t>
      </w:r>
    </w:p>
    <w:p w14:paraId="20601248">
      <w:pPr>
        <w:snapToGrid w:val="0"/>
        <w:spacing w:line="300" w:lineRule="auto"/>
        <w:ind w:firstLine="420" w:firstLineChars="200"/>
        <w:rPr>
          <w:rFonts w:hint="eastAsia" w:ascii="宋体" w:hAnsi="宋体"/>
          <w:sz w:val="21"/>
          <w:szCs w:val="21"/>
          <w:highlight w:val="none"/>
        </w:rPr>
      </w:pPr>
      <w:r>
        <w:rPr>
          <w:rFonts w:hint="eastAsia" w:ascii="宋体" w:hAnsi="宋体"/>
          <w:sz w:val="21"/>
          <w:szCs w:val="21"/>
          <w:highlight w:val="none"/>
        </w:rPr>
        <w:t>证明材料仅限于</w:t>
      </w:r>
      <w:r>
        <w:rPr>
          <w:rFonts w:hint="eastAsia" w:ascii="宋体" w:hAnsi="宋体"/>
          <w:sz w:val="21"/>
          <w:szCs w:val="21"/>
          <w:highlight w:val="none"/>
          <w:lang w:val="en-US" w:eastAsia="zh-CN"/>
        </w:rPr>
        <w:t>供应商</w:t>
      </w:r>
      <w:r>
        <w:rPr>
          <w:rFonts w:hint="eastAsia" w:ascii="宋体" w:hAnsi="宋体"/>
          <w:sz w:val="21"/>
          <w:szCs w:val="21"/>
          <w:highlight w:val="none"/>
        </w:rPr>
        <w:t>本身，参股或控股单位及独立法人子公司的材料不能作为证明材料，但</w:t>
      </w:r>
      <w:r>
        <w:rPr>
          <w:rFonts w:hint="eastAsia" w:ascii="宋体" w:hAnsi="宋体"/>
          <w:sz w:val="21"/>
          <w:szCs w:val="21"/>
          <w:highlight w:val="none"/>
          <w:lang w:val="en-US" w:eastAsia="zh-CN"/>
        </w:rPr>
        <w:t>供应商</w:t>
      </w:r>
      <w:r>
        <w:rPr>
          <w:rFonts w:hint="eastAsia" w:ascii="宋体" w:hAnsi="宋体"/>
          <w:sz w:val="21"/>
          <w:szCs w:val="21"/>
          <w:highlight w:val="none"/>
        </w:rPr>
        <w:t>兼并的企业的材料可作为证明材料。</w:t>
      </w:r>
    </w:p>
    <w:p w14:paraId="2A8F7212">
      <w:pPr>
        <w:tabs>
          <w:tab w:val="left" w:pos="1098"/>
        </w:tabs>
        <w:spacing w:line="360" w:lineRule="auto"/>
        <w:ind w:left="252"/>
        <w:rPr>
          <w:rFonts w:hint="eastAsia" w:ascii="宋体" w:hAnsi="宋体"/>
          <w:b/>
          <w:sz w:val="21"/>
          <w:szCs w:val="21"/>
          <w:highlight w:val="none"/>
          <w:lang w:val="zh-CN"/>
        </w:rPr>
      </w:pPr>
      <w:r>
        <w:rPr>
          <w:rFonts w:hint="eastAsia" w:ascii="宋体" w:hAnsi="宋体"/>
          <w:sz w:val="21"/>
          <w:szCs w:val="21"/>
          <w:highlight w:val="none"/>
        </w:rPr>
        <w:t>（2）对于</w:t>
      </w:r>
      <w:r>
        <w:rPr>
          <w:rFonts w:hint="eastAsia" w:ascii="宋体" w:hAnsi="宋体"/>
          <w:sz w:val="21"/>
          <w:szCs w:val="21"/>
          <w:highlight w:val="none"/>
          <w:lang w:eastAsia="zh-CN"/>
        </w:rPr>
        <w:t>响应文件</w:t>
      </w:r>
      <w:r>
        <w:rPr>
          <w:rFonts w:hint="eastAsia" w:ascii="宋体" w:hAnsi="宋体"/>
          <w:sz w:val="21"/>
          <w:szCs w:val="21"/>
          <w:highlight w:val="none"/>
        </w:rPr>
        <w:t>中有任意一条不满足上表要求的将导致其</w:t>
      </w:r>
      <w:r>
        <w:rPr>
          <w:rFonts w:hint="eastAsia" w:ascii="宋体" w:hAnsi="宋体"/>
          <w:sz w:val="21"/>
          <w:szCs w:val="21"/>
          <w:highlight w:val="none"/>
          <w:lang w:val="en-US" w:eastAsia="zh-CN"/>
        </w:rPr>
        <w:t>响应</w:t>
      </w:r>
      <w:r>
        <w:rPr>
          <w:rFonts w:hint="eastAsia" w:ascii="宋体" w:hAnsi="宋体"/>
          <w:sz w:val="21"/>
          <w:szCs w:val="21"/>
          <w:highlight w:val="none"/>
        </w:rPr>
        <w:t>无效，不进入下一项评审。</w:t>
      </w:r>
    </w:p>
    <w:p w14:paraId="653493D9">
      <w:pPr>
        <w:numPr>
          <w:ilvl w:val="0"/>
          <w:numId w:val="2"/>
        </w:numPr>
        <w:tabs>
          <w:tab w:val="left" w:pos="1098"/>
        </w:tabs>
        <w:spacing w:line="360" w:lineRule="auto"/>
        <w:ind w:left="14" w:firstLine="238"/>
        <w:rPr>
          <w:rFonts w:ascii="宋体" w:hAnsi="宋体"/>
          <w:b/>
          <w:sz w:val="24"/>
          <w:szCs w:val="24"/>
          <w:highlight w:val="none"/>
          <w:lang w:val="zh-CN"/>
        </w:rPr>
      </w:pPr>
      <w:r>
        <w:rPr>
          <w:rFonts w:hint="eastAsia" w:ascii="宋体" w:hAnsi="宋体"/>
          <w:b/>
          <w:sz w:val="24"/>
          <w:szCs w:val="24"/>
          <w:highlight w:val="none"/>
          <w:lang w:val="zh-CN"/>
        </w:rPr>
        <w:t>确定资格审查合格供应商</w:t>
      </w:r>
    </w:p>
    <w:p w14:paraId="59E486B2">
      <w:pPr>
        <w:pStyle w:val="14"/>
        <w:numPr>
          <w:ilvl w:val="0"/>
          <w:numId w:val="4"/>
        </w:numPr>
        <w:spacing w:line="360" w:lineRule="auto"/>
        <w:ind w:left="840" w:hanging="364" w:firstLineChars="0"/>
        <w:rPr>
          <w:rFonts w:ascii="宋体" w:hAnsi="宋体"/>
          <w:sz w:val="24"/>
          <w:szCs w:val="24"/>
          <w:highlight w:val="none"/>
          <w:lang w:val="zh-CN"/>
        </w:rPr>
      </w:pPr>
      <w:r>
        <w:rPr>
          <w:rFonts w:hint="eastAsia" w:ascii="宋体" w:hAnsi="宋体"/>
          <w:sz w:val="24"/>
          <w:szCs w:val="24"/>
          <w:highlight w:val="none"/>
          <w:lang w:val="zh-CN"/>
        </w:rPr>
        <w:t>按照本章“资格审查方法及标准”，对各供应商资格证明文件进行审查。依据对各供应商资格证明文件的审查结果，确定资格审查合格的供应商。</w:t>
      </w:r>
    </w:p>
    <w:p w14:paraId="3B6C60EC">
      <w:pPr>
        <w:spacing w:line="360" w:lineRule="auto"/>
        <w:rPr>
          <w:rFonts w:ascii="宋体" w:hAnsi="宋体"/>
          <w:b/>
          <w:sz w:val="24"/>
          <w:szCs w:val="24"/>
          <w:highlight w:val="none"/>
          <w:lang w:val="zh-CN"/>
        </w:rPr>
        <w:sectPr>
          <w:footerReference r:id="rId9" w:type="default"/>
          <w:type w:val="nextColumn"/>
          <w:pgSz w:w="11906" w:h="16838"/>
          <w:pgMar w:top="1134" w:right="1797" w:bottom="1134" w:left="1797" w:header="851" w:footer="992" w:gutter="0"/>
          <w:cols w:space="720" w:num="1"/>
          <w:docGrid w:type="lines" w:linePitch="312" w:charSpace="0"/>
        </w:sectPr>
      </w:pPr>
    </w:p>
    <w:p w14:paraId="6E082484">
      <w:pPr>
        <w:pStyle w:val="3"/>
        <w:autoSpaceDE/>
        <w:autoSpaceDN/>
        <w:adjustRightInd/>
        <w:spacing w:before="0" w:after="0" w:line="360" w:lineRule="auto"/>
        <w:rPr>
          <w:rFonts w:ascii="微软雅黑" w:hAnsi="微软雅黑" w:eastAsia="微软雅黑" w:cs="微软雅黑"/>
          <w:bCs/>
          <w:kern w:val="44"/>
          <w:sz w:val="32"/>
          <w:szCs w:val="32"/>
          <w:highlight w:val="none"/>
        </w:rPr>
      </w:pPr>
      <w:bookmarkStart w:id="14" w:name="_Toc17204"/>
      <w:bookmarkStart w:id="15" w:name="_Toc511894516"/>
      <w:bookmarkStart w:id="16" w:name="_Toc61280400"/>
      <w:r>
        <w:rPr>
          <w:rFonts w:ascii="微软雅黑" w:hAnsi="微软雅黑" w:eastAsia="微软雅黑" w:cs="微软雅黑"/>
          <w:bCs/>
          <w:kern w:val="44"/>
          <w:sz w:val="32"/>
          <w:szCs w:val="32"/>
          <w:highlight w:val="none"/>
        </w:rPr>
        <w:t>第</w:t>
      </w:r>
      <w:r>
        <w:rPr>
          <w:rFonts w:hint="eastAsia" w:ascii="微软雅黑" w:hAnsi="微软雅黑" w:eastAsia="微软雅黑" w:cs="微软雅黑"/>
          <w:bCs/>
          <w:kern w:val="44"/>
          <w:sz w:val="32"/>
          <w:szCs w:val="32"/>
          <w:highlight w:val="none"/>
          <w:lang w:val="en-US" w:eastAsia="zh-CN"/>
        </w:rPr>
        <w:t>三</w:t>
      </w:r>
      <w:r>
        <w:rPr>
          <w:rFonts w:ascii="微软雅黑" w:hAnsi="微软雅黑" w:eastAsia="微软雅黑" w:cs="微软雅黑"/>
          <w:bCs/>
          <w:kern w:val="44"/>
          <w:sz w:val="32"/>
          <w:szCs w:val="32"/>
          <w:highlight w:val="none"/>
        </w:rPr>
        <w:t>章 评审方法、程序及标准</w:t>
      </w:r>
      <w:bookmarkEnd w:id="14"/>
      <w:bookmarkEnd w:id="15"/>
      <w:bookmarkEnd w:id="16"/>
    </w:p>
    <w:p w14:paraId="6A78783C">
      <w:pPr>
        <w:spacing w:line="360" w:lineRule="auto"/>
        <w:ind w:firstLine="480" w:firstLineChars="200"/>
        <w:rPr>
          <w:rFonts w:ascii="宋体" w:hAnsi="宋体"/>
          <w:bCs/>
          <w:sz w:val="24"/>
          <w:highlight w:val="none"/>
          <w:lang w:val="zh-CN"/>
        </w:rPr>
      </w:pPr>
      <w:r>
        <w:rPr>
          <w:rFonts w:hint="eastAsia" w:ascii="宋体" w:hAnsi="宋体"/>
          <w:bCs/>
          <w:sz w:val="24"/>
          <w:highlight w:val="none"/>
          <w:lang w:val="zh-CN"/>
        </w:rPr>
        <w:t>评审委员会按以下工作程序进行评标：</w:t>
      </w:r>
      <w:r>
        <w:rPr>
          <w:rFonts w:hint="eastAsia" w:ascii="宋体" w:hAnsi="宋体"/>
          <w:sz w:val="24"/>
          <w:highlight w:val="none"/>
          <w:lang w:val="zh-CN"/>
        </w:rPr>
        <w:t>符合性审查、澄清有关问题、综合比较和评价、确定</w:t>
      </w:r>
      <w:r>
        <w:rPr>
          <w:rFonts w:hint="eastAsia" w:ascii="宋体" w:hAnsi="宋体"/>
          <w:bCs/>
          <w:sz w:val="24"/>
          <w:highlight w:val="none"/>
          <w:lang w:val="zh-CN"/>
        </w:rPr>
        <w:t>成交</w:t>
      </w:r>
      <w:r>
        <w:rPr>
          <w:rFonts w:hint="eastAsia" w:ascii="宋体" w:hAnsi="宋体"/>
          <w:bCs/>
          <w:sz w:val="24"/>
          <w:highlight w:val="none"/>
          <w:lang w:val="en-US" w:eastAsia="zh-CN"/>
        </w:rPr>
        <w:t>供应商</w:t>
      </w:r>
      <w:r>
        <w:rPr>
          <w:rFonts w:hint="eastAsia" w:ascii="宋体" w:hAnsi="宋体"/>
          <w:sz w:val="24"/>
          <w:highlight w:val="none"/>
          <w:lang w:val="zh-CN"/>
        </w:rPr>
        <w:t>名单。</w:t>
      </w:r>
    </w:p>
    <w:p w14:paraId="61D011A7">
      <w:pPr>
        <w:numPr>
          <w:ilvl w:val="0"/>
          <w:numId w:val="5"/>
        </w:numPr>
        <w:ind w:left="1159" w:leftChars="154" w:hanging="851" w:hangingChars="353"/>
        <w:rPr>
          <w:rFonts w:ascii="宋体" w:hAnsi="宋体"/>
          <w:strike/>
          <w:sz w:val="24"/>
          <w:szCs w:val="24"/>
          <w:highlight w:val="none"/>
          <w:lang w:val="zh-CN"/>
        </w:rPr>
      </w:pPr>
      <w:r>
        <w:rPr>
          <w:rFonts w:hint="eastAsia" w:ascii="宋体" w:hAnsi="宋体"/>
          <w:b/>
          <w:sz w:val="24"/>
          <w:szCs w:val="24"/>
          <w:highlight w:val="none"/>
          <w:lang w:val="zh-CN"/>
        </w:rPr>
        <w:t>符合性审查</w:t>
      </w:r>
    </w:p>
    <w:p w14:paraId="0E181731">
      <w:pPr>
        <w:keepNext w:val="0"/>
        <w:keepLines w:val="0"/>
        <w:pageBreakBefore w:val="0"/>
        <w:widowControl w:val="0"/>
        <w:kinsoku/>
        <w:wordWrap/>
        <w:overflowPunct/>
        <w:topLinePunct w:val="0"/>
        <w:autoSpaceDE/>
        <w:autoSpaceDN/>
        <w:bidi w:val="0"/>
        <w:adjustRightInd/>
        <w:snapToGrid/>
        <w:spacing w:before="313" w:beforeLines="100" w:line="360" w:lineRule="auto"/>
        <w:ind w:firstLine="470" w:firstLineChars="196"/>
        <w:textAlignment w:val="auto"/>
        <w:rPr>
          <w:rFonts w:ascii="宋体" w:hAnsi="宋体"/>
          <w:bCs/>
          <w:sz w:val="24"/>
          <w:highlight w:val="none"/>
          <w:lang w:val="zh-CN"/>
        </w:rPr>
      </w:pPr>
      <w:r>
        <w:rPr>
          <w:rFonts w:ascii="Helvetica" w:hAnsi="Helvetica" w:cs="Helvetica"/>
          <w:sz w:val="24"/>
          <w:szCs w:val="24"/>
          <w:highlight w:val="none"/>
          <w:lang w:val="zh-CN"/>
        </w:rPr>
        <w:t>评审委员会应当对符合资格的</w:t>
      </w:r>
      <w:r>
        <w:rPr>
          <w:rFonts w:hint="eastAsia" w:ascii="Helvetica" w:hAnsi="Helvetica" w:cs="Helvetica"/>
          <w:sz w:val="24"/>
          <w:szCs w:val="24"/>
          <w:highlight w:val="none"/>
          <w:lang w:val="zh-CN"/>
        </w:rPr>
        <w:t>供应商</w:t>
      </w:r>
      <w:r>
        <w:rPr>
          <w:rFonts w:ascii="Helvetica" w:hAnsi="Helvetica" w:cs="Helvetica"/>
          <w:sz w:val="24"/>
          <w:szCs w:val="24"/>
          <w:highlight w:val="none"/>
          <w:lang w:val="zh-CN"/>
        </w:rPr>
        <w:t>的</w:t>
      </w:r>
      <w:r>
        <w:rPr>
          <w:rFonts w:hint="eastAsia" w:ascii="Helvetica" w:hAnsi="Helvetica" w:cs="Helvetica"/>
          <w:sz w:val="24"/>
          <w:szCs w:val="24"/>
          <w:highlight w:val="none"/>
          <w:lang w:val="zh-CN"/>
        </w:rPr>
        <w:t>响应文件</w:t>
      </w:r>
      <w:r>
        <w:rPr>
          <w:rFonts w:ascii="Helvetica" w:hAnsi="Helvetica" w:cs="Helvetica"/>
          <w:sz w:val="24"/>
          <w:szCs w:val="24"/>
          <w:highlight w:val="none"/>
          <w:lang w:val="zh-CN"/>
        </w:rPr>
        <w:t>进行符合性审查，以确定其是否满足</w:t>
      </w:r>
      <w:r>
        <w:rPr>
          <w:rFonts w:hint="eastAsia" w:ascii="Helvetica" w:hAnsi="Helvetica" w:cs="Helvetica"/>
          <w:sz w:val="24"/>
          <w:szCs w:val="24"/>
          <w:highlight w:val="none"/>
          <w:lang w:val="zh-CN"/>
        </w:rPr>
        <w:t>遴选</w:t>
      </w:r>
      <w:r>
        <w:rPr>
          <w:rFonts w:ascii="Helvetica" w:hAnsi="Helvetica" w:cs="Helvetica"/>
          <w:sz w:val="24"/>
          <w:szCs w:val="24"/>
          <w:highlight w:val="none"/>
          <w:lang w:val="zh-CN"/>
        </w:rPr>
        <w:t>文件的实质性要求。</w:t>
      </w:r>
      <w:r>
        <w:rPr>
          <w:rFonts w:hint="eastAsia" w:ascii="宋体" w:hAnsi="宋体"/>
          <w:bCs/>
          <w:sz w:val="24"/>
          <w:highlight w:val="none"/>
          <w:lang w:val="zh-CN"/>
        </w:rPr>
        <w:t>符合性审查出现下列情形之一的遴选申请按照</w:t>
      </w:r>
      <w:r>
        <w:rPr>
          <w:rFonts w:hint="eastAsia" w:ascii="宋体" w:hAnsi="宋体"/>
          <w:b/>
          <w:bCs/>
          <w:sz w:val="24"/>
          <w:highlight w:val="none"/>
          <w:lang w:val="zh-CN"/>
        </w:rPr>
        <w:t>无效遴选申请处理</w:t>
      </w:r>
      <w:r>
        <w:rPr>
          <w:rFonts w:hint="eastAsia" w:ascii="宋体" w:hAnsi="宋体"/>
          <w:bCs/>
          <w:sz w:val="24"/>
          <w:highlight w:val="none"/>
          <w:lang w:val="zh-CN"/>
        </w:rPr>
        <w:t>：</w:t>
      </w:r>
    </w:p>
    <w:tbl>
      <w:tblPr>
        <w:tblStyle w:val="10"/>
        <w:tblW w:w="5000" w:type="pct"/>
        <w:jc w:val="center"/>
        <w:tblLayout w:type="autofit"/>
        <w:tblCellMar>
          <w:top w:w="0" w:type="dxa"/>
          <w:left w:w="108" w:type="dxa"/>
          <w:bottom w:w="0" w:type="dxa"/>
          <w:right w:w="108" w:type="dxa"/>
        </w:tblCellMar>
      </w:tblPr>
      <w:tblGrid>
        <w:gridCol w:w="654"/>
        <w:gridCol w:w="6878"/>
        <w:gridCol w:w="993"/>
      </w:tblGrid>
      <w:tr w14:paraId="7C18718B">
        <w:tblPrEx>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75E91C91">
            <w:pPr>
              <w:widowControl/>
              <w:adjustRightInd w:val="0"/>
              <w:snapToGrid w:val="0"/>
              <w:jc w:val="center"/>
              <w:rPr>
                <w:rFonts w:hint="eastAsia" w:ascii="宋体" w:hAnsi="宋体" w:cs="宋体"/>
                <w:b/>
                <w:bCs/>
                <w:sz w:val="21"/>
                <w:szCs w:val="22"/>
                <w:highlight w:val="none"/>
              </w:rPr>
            </w:pPr>
            <w:bookmarkStart w:id="17" w:name="_Toc493702305"/>
            <w:bookmarkStart w:id="18" w:name="_Toc492403836"/>
            <w:bookmarkStart w:id="19" w:name="_Toc27945260"/>
            <w:r>
              <w:rPr>
                <w:rFonts w:hint="eastAsia" w:ascii="宋体" w:hAnsi="宋体" w:cs="宋体"/>
                <w:b/>
                <w:bCs/>
                <w:sz w:val="21"/>
                <w:szCs w:val="22"/>
                <w:highlight w:val="none"/>
              </w:rPr>
              <w:t>序号</w:t>
            </w:r>
          </w:p>
        </w:tc>
        <w:tc>
          <w:tcPr>
            <w:tcW w:w="4033" w:type="pct"/>
            <w:tcBorders>
              <w:top w:val="single" w:color="auto" w:sz="4" w:space="0"/>
              <w:left w:val="single" w:color="auto" w:sz="4" w:space="0"/>
              <w:bottom w:val="single" w:color="auto" w:sz="4" w:space="0"/>
              <w:right w:val="single" w:color="auto" w:sz="4" w:space="0"/>
            </w:tcBorders>
            <w:noWrap w:val="0"/>
            <w:vAlign w:val="center"/>
          </w:tcPr>
          <w:p w14:paraId="54C8D3B5">
            <w:pPr>
              <w:adjustRightInd w:val="0"/>
              <w:snapToGrid w:val="0"/>
              <w:jc w:val="center"/>
              <w:rPr>
                <w:rFonts w:hint="eastAsia" w:ascii="宋体" w:hAnsi="宋体" w:cs="宋体"/>
                <w:b/>
                <w:bCs/>
                <w:sz w:val="21"/>
                <w:szCs w:val="22"/>
                <w:highlight w:val="none"/>
              </w:rPr>
            </w:pPr>
            <w:r>
              <w:rPr>
                <w:rFonts w:hint="eastAsia" w:ascii="宋体" w:hAnsi="宋体" w:cs="宋体"/>
                <w:b/>
                <w:bCs/>
                <w:sz w:val="21"/>
                <w:szCs w:val="22"/>
                <w:highlight w:val="none"/>
              </w:rPr>
              <w:t>审核内容</w:t>
            </w:r>
          </w:p>
        </w:tc>
        <w:tc>
          <w:tcPr>
            <w:tcW w:w="582" w:type="pct"/>
            <w:tcBorders>
              <w:top w:val="single" w:color="auto" w:sz="4" w:space="0"/>
              <w:left w:val="nil"/>
              <w:bottom w:val="single" w:color="auto" w:sz="4" w:space="0"/>
              <w:right w:val="single" w:color="auto" w:sz="4" w:space="0"/>
            </w:tcBorders>
            <w:noWrap w:val="0"/>
            <w:vAlign w:val="center"/>
          </w:tcPr>
          <w:p w14:paraId="7E97DCD9">
            <w:pPr>
              <w:widowControl/>
              <w:adjustRightInd w:val="0"/>
              <w:snapToGrid w:val="0"/>
              <w:jc w:val="center"/>
              <w:rPr>
                <w:rFonts w:hint="eastAsia" w:ascii="宋体" w:hAnsi="宋体" w:cs="宋体"/>
                <w:b/>
                <w:bCs/>
                <w:sz w:val="21"/>
                <w:szCs w:val="22"/>
                <w:highlight w:val="none"/>
              </w:rPr>
            </w:pPr>
            <w:r>
              <w:rPr>
                <w:rFonts w:hint="eastAsia" w:ascii="宋体" w:hAnsi="宋体" w:cs="宋体"/>
                <w:b/>
                <w:bCs/>
                <w:sz w:val="21"/>
                <w:szCs w:val="22"/>
                <w:highlight w:val="none"/>
                <w:lang w:eastAsia="zh-CN"/>
              </w:rPr>
              <w:t>供应商</w:t>
            </w:r>
            <w:r>
              <w:rPr>
                <w:rFonts w:hint="eastAsia" w:ascii="宋体" w:hAnsi="宋体" w:cs="宋体"/>
                <w:b/>
                <w:bCs/>
                <w:sz w:val="21"/>
                <w:szCs w:val="22"/>
                <w:highlight w:val="none"/>
              </w:rPr>
              <w:t>名称</w:t>
            </w:r>
          </w:p>
        </w:tc>
      </w:tr>
      <w:tr w14:paraId="2A545841">
        <w:tblPrEx>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75E49688">
            <w:pPr>
              <w:widowControl/>
              <w:numPr>
                <w:ilvl w:val="0"/>
                <w:numId w:val="6"/>
              </w:numPr>
              <w:adjustRightInd w:val="0"/>
              <w:snapToGrid w:val="0"/>
              <w:jc w:val="center"/>
              <w:rPr>
                <w:rFonts w:hint="eastAsia" w:ascii="宋体" w:hAnsi="宋体" w:cs="宋体"/>
                <w:sz w:val="21"/>
                <w:szCs w:val="22"/>
                <w:highlight w:val="none"/>
              </w:rPr>
            </w:pPr>
          </w:p>
        </w:tc>
        <w:tc>
          <w:tcPr>
            <w:tcW w:w="4033" w:type="pct"/>
            <w:tcBorders>
              <w:top w:val="single" w:color="auto" w:sz="4" w:space="0"/>
              <w:left w:val="nil"/>
              <w:bottom w:val="single" w:color="auto" w:sz="4" w:space="0"/>
              <w:right w:val="single" w:color="auto" w:sz="4" w:space="0"/>
            </w:tcBorders>
            <w:noWrap w:val="0"/>
            <w:vAlign w:val="center"/>
          </w:tcPr>
          <w:p w14:paraId="32210D51">
            <w:pPr>
              <w:adjustRightInd w:val="0"/>
              <w:snapToGrid w:val="0"/>
              <w:rPr>
                <w:rFonts w:hint="eastAsia" w:ascii="宋体" w:hAnsi="宋体" w:cs="宋体"/>
                <w:sz w:val="21"/>
                <w:szCs w:val="22"/>
                <w:highlight w:val="none"/>
              </w:rPr>
            </w:pPr>
            <w:r>
              <w:rPr>
                <w:rFonts w:hint="eastAsia" w:ascii="宋体" w:hAnsi="宋体" w:cs="宋体"/>
                <w:sz w:val="21"/>
                <w:szCs w:val="22"/>
                <w:highlight w:val="none"/>
              </w:rPr>
              <w:t>（1）报价不超过项目最高限价；</w:t>
            </w:r>
          </w:p>
          <w:p w14:paraId="42522DCD">
            <w:pPr>
              <w:adjustRightInd w:val="0"/>
              <w:snapToGrid w:val="0"/>
              <w:rPr>
                <w:rFonts w:hint="eastAsia" w:ascii="宋体" w:hAnsi="宋体" w:cs="宋体"/>
                <w:sz w:val="21"/>
                <w:szCs w:val="22"/>
                <w:highlight w:val="none"/>
              </w:rPr>
            </w:pPr>
            <w:r>
              <w:rPr>
                <w:rFonts w:hint="eastAsia" w:ascii="宋体" w:hAnsi="宋体" w:cs="宋体"/>
                <w:sz w:val="21"/>
                <w:szCs w:val="22"/>
                <w:highlight w:val="none"/>
              </w:rPr>
              <w:t>（2）报价不存在缺项、漏项。</w:t>
            </w:r>
          </w:p>
        </w:tc>
        <w:tc>
          <w:tcPr>
            <w:tcW w:w="582" w:type="pct"/>
            <w:tcBorders>
              <w:top w:val="nil"/>
              <w:left w:val="nil"/>
              <w:bottom w:val="single" w:color="auto" w:sz="4" w:space="0"/>
              <w:right w:val="single" w:color="auto" w:sz="4" w:space="0"/>
            </w:tcBorders>
            <w:noWrap w:val="0"/>
            <w:vAlign w:val="center"/>
          </w:tcPr>
          <w:p w14:paraId="19C7C491">
            <w:pPr>
              <w:widowControl/>
              <w:adjustRightInd w:val="0"/>
              <w:snapToGrid w:val="0"/>
              <w:rPr>
                <w:rFonts w:hint="eastAsia" w:ascii="宋体" w:hAnsi="宋体" w:cs="宋体"/>
                <w:sz w:val="21"/>
                <w:szCs w:val="22"/>
                <w:highlight w:val="none"/>
              </w:rPr>
            </w:pPr>
          </w:p>
        </w:tc>
      </w:tr>
      <w:tr w14:paraId="2C135C58">
        <w:tblPrEx>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6D1AE0DF">
            <w:pPr>
              <w:widowControl/>
              <w:numPr>
                <w:ilvl w:val="0"/>
                <w:numId w:val="6"/>
              </w:numPr>
              <w:adjustRightInd w:val="0"/>
              <w:snapToGrid w:val="0"/>
              <w:jc w:val="center"/>
              <w:rPr>
                <w:rFonts w:hint="eastAsia" w:ascii="宋体" w:hAnsi="宋体" w:cs="宋体"/>
                <w:sz w:val="21"/>
                <w:szCs w:val="22"/>
                <w:highlight w:val="none"/>
              </w:rPr>
            </w:pPr>
          </w:p>
        </w:tc>
        <w:tc>
          <w:tcPr>
            <w:tcW w:w="4033" w:type="pct"/>
            <w:tcBorders>
              <w:top w:val="single" w:color="auto" w:sz="4" w:space="0"/>
              <w:left w:val="nil"/>
              <w:bottom w:val="single" w:color="auto" w:sz="4" w:space="0"/>
              <w:right w:val="single" w:color="auto" w:sz="4" w:space="0"/>
            </w:tcBorders>
            <w:noWrap w:val="0"/>
            <w:vAlign w:val="center"/>
          </w:tcPr>
          <w:p w14:paraId="3C9C309E">
            <w:pPr>
              <w:widowControl/>
              <w:adjustRightInd w:val="0"/>
              <w:snapToGrid w:val="0"/>
              <w:rPr>
                <w:rFonts w:hint="eastAsia" w:ascii="宋体" w:hAnsi="宋体" w:cs="宋体"/>
                <w:sz w:val="21"/>
                <w:szCs w:val="22"/>
                <w:highlight w:val="none"/>
              </w:rPr>
            </w:pPr>
            <w:r>
              <w:rPr>
                <w:rFonts w:hint="eastAsia" w:ascii="宋体" w:hAnsi="宋体" w:cs="宋体"/>
                <w:sz w:val="21"/>
                <w:szCs w:val="22"/>
                <w:highlight w:val="none"/>
                <w:lang w:eastAsia="zh-CN"/>
              </w:rPr>
              <w:t>响应文件</w:t>
            </w:r>
            <w:r>
              <w:rPr>
                <w:rFonts w:hint="eastAsia" w:ascii="宋体" w:hAnsi="宋体" w:cs="宋体"/>
                <w:sz w:val="21"/>
                <w:szCs w:val="22"/>
                <w:highlight w:val="none"/>
              </w:rPr>
              <w:t>中未附有采购人不能接受条件；</w:t>
            </w:r>
          </w:p>
        </w:tc>
        <w:tc>
          <w:tcPr>
            <w:tcW w:w="582" w:type="pct"/>
            <w:tcBorders>
              <w:top w:val="nil"/>
              <w:left w:val="nil"/>
              <w:bottom w:val="single" w:color="auto" w:sz="4" w:space="0"/>
              <w:right w:val="single" w:color="auto" w:sz="4" w:space="0"/>
            </w:tcBorders>
            <w:noWrap w:val="0"/>
            <w:vAlign w:val="center"/>
          </w:tcPr>
          <w:p w14:paraId="0023D0C6">
            <w:pPr>
              <w:widowControl/>
              <w:adjustRightInd w:val="0"/>
              <w:snapToGrid w:val="0"/>
              <w:rPr>
                <w:rFonts w:hint="eastAsia" w:ascii="宋体" w:hAnsi="宋体" w:cs="宋体"/>
                <w:sz w:val="21"/>
                <w:szCs w:val="22"/>
                <w:highlight w:val="none"/>
              </w:rPr>
            </w:pPr>
          </w:p>
        </w:tc>
      </w:tr>
      <w:tr w14:paraId="36E94F3D">
        <w:tblPrEx>
          <w:tblCellMar>
            <w:top w:w="0" w:type="dxa"/>
            <w:left w:w="108" w:type="dxa"/>
            <w:bottom w:w="0" w:type="dxa"/>
            <w:right w:w="108" w:type="dxa"/>
          </w:tblCellMar>
        </w:tblPrEx>
        <w:trPr>
          <w:trHeight w:val="454"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2D64915E">
            <w:pPr>
              <w:widowControl/>
              <w:numPr>
                <w:ilvl w:val="0"/>
                <w:numId w:val="6"/>
              </w:numPr>
              <w:adjustRightInd w:val="0"/>
              <w:snapToGrid w:val="0"/>
              <w:jc w:val="center"/>
              <w:rPr>
                <w:rFonts w:hint="eastAsia" w:ascii="宋体" w:hAnsi="宋体" w:cs="宋体"/>
                <w:sz w:val="21"/>
                <w:szCs w:val="22"/>
                <w:highlight w:val="none"/>
              </w:rPr>
            </w:pPr>
          </w:p>
        </w:tc>
        <w:tc>
          <w:tcPr>
            <w:tcW w:w="4033" w:type="pct"/>
            <w:tcBorders>
              <w:top w:val="nil"/>
              <w:left w:val="nil"/>
              <w:bottom w:val="single" w:color="auto" w:sz="4" w:space="0"/>
              <w:right w:val="single" w:color="auto" w:sz="4" w:space="0"/>
            </w:tcBorders>
            <w:noWrap w:val="0"/>
            <w:vAlign w:val="center"/>
          </w:tcPr>
          <w:p w14:paraId="30060B63">
            <w:pPr>
              <w:widowControl/>
              <w:adjustRightInd w:val="0"/>
              <w:snapToGrid w:val="0"/>
              <w:rPr>
                <w:rFonts w:hint="eastAsia" w:ascii="宋体" w:hAnsi="宋体" w:cs="宋体"/>
                <w:sz w:val="21"/>
                <w:szCs w:val="22"/>
                <w:highlight w:val="none"/>
              </w:rPr>
            </w:pPr>
            <w:r>
              <w:rPr>
                <w:rFonts w:hint="eastAsia" w:ascii="宋体" w:hAnsi="宋体" w:cs="宋体"/>
                <w:sz w:val="21"/>
                <w:szCs w:val="22"/>
                <w:highlight w:val="none"/>
                <w:lang w:eastAsia="zh-CN"/>
              </w:rPr>
              <w:t>供应商</w:t>
            </w:r>
            <w:r>
              <w:rPr>
                <w:rFonts w:hint="eastAsia" w:ascii="宋体" w:hAnsi="宋体" w:cs="宋体"/>
                <w:sz w:val="21"/>
                <w:szCs w:val="22"/>
                <w:highlight w:val="none"/>
              </w:rPr>
              <w:t>未有下列任一情形：</w:t>
            </w:r>
          </w:p>
          <w:p w14:paraId="00B27E59">
            <w:pPr>
              <w:widowControl/>
              <w:adjustRightInd w:val="0"/>
              <w:snapToGrid w:val="0"/>
              <w:rPr>
                <w:rFonts w:hint="eastAsia" w:ascii="宋体" w:hAnsi="宋体" w:cs="宋体"/>
                <w:sz w:val="21"/>
                <w:szCs w:val="22"/>
                <w:highlight w:val="none"/>
              </w:rPr>
            </w:pPr>
            <w:r>
              <w:rPr>
                <w:rFonts w:hint="eastAsia" w:ascii="宋体" w:hAnsi="宋体" w:cs="宋体"/>
                <w:sz w:val="21"/>
                <w:szCs w:val="22"/>
                <w:highlight w:val="none"/>
              </w:rPr>
              <w:t>（1）不同</w:t>
            </w:r>
            <w:r>
              <w:rPr>
                <w:rFonts w:hint="eastAsia" w:ascii="宋体" w:hAnsi="宋体" w:cs="宋体"/>
                <w:sz w:val="21"/>
                <w:szCs w:val="22"/>
                <w:highlight w:val="none"/>
                <w:lang w:eastAsia="zh-CN"/>
              </w:rPr>
              <w:t>供应商</w:t>
            </w:r>
            <w:r>
              <w:rPr>
                <w:rFonts w:hint="eastAsia" w:ascii="宋体" w:hAnsi="宋体" w:cs="宋体"/>
                <w:sz w:val="21"/>
                <w:szCs w:val="22"/>
                <w:highlight w:val="none"/>
              </w:rPr>
              <w:t>的</w:t>
            </w:r>
            <w:r>
              <w:rPr>
                <w:rFonts w:hint="eastAsia" w:ascii="宋体" w:hAnsi="宋体" w:cs="宋体"/>
                <w:sz w:val="21"/>
                <w:szCs w:val="22"/>
                <w:highlight w:val="none"/>
                <w:lang w:eastAsia="zh-CN"/>
              </w:rPr>
              <w:t>响应文件</w:t>
            </w:r>
            <w:r>
              <w:rPr>
                <w:rFonts w:hint="eastAsia" w:ascii="宋体" w:hAnsi="宋体" w:cs="宋体"/>
                <w:sz w:val="21"/>
                <w:szCs w:val="22"/>
                <w:highlight w:val="none"/>
              </w:rPr>
              <w:t>由同一单位或者个人编制；</w:t>
            </w:r>
          </w:p>
          <w:p w14:paraId="315BD31F">
            <w:pPr>
              <w:widowControl/>
              <w:adjustRightInd w:val="0"/>
              <w:snapToGrid w:val="0"/>
              <w:rPr>
                <w:rFonts w:hint="eastAsia" w:ascii="宋体" w:hAnsi="宋体" w:cs="宋体"/>
                <w:sz w:val="21"/>
                <w:szCs w:val="22"/>
                <w:highlight w:val="none"/>
              </w:rPr>
            </w:pPr>
            <w:r>
              <w:rPr>
                <w:rFonts w:hint="eastAsia" w:ascii="宋体" w:hAnsi="宋体" w:cs="宋体"/>
                <w:sz w:val="21"/>
                <w:szCs w:val="22"/>
                <w:highlight w:val="none"/>
              </w:rPr>
              <w:t>（2）不同</w:t>
            </w:r>
            <w:r>
              <w:rPr>
                <w:rFonts w:hint="eastAsia" w:ascii="宋体" w:hAnsi="宋体" w:cs="宋体"/>
                <w:sz w:val="21"/>
                <w:szCs w:val="22"/>
                <w:highlight w:val="none"/>
                <w:lang w:eastAsia="zh-CN"/>
              </w:rPr>
              <w:t>供应商</w:t>
            </w:r>
            <w:r>
              <w:rPr>
                <w:rFonts w:hint="eastAsia" w:ascii="宋体" w:hAnsi="宋体" w:cs="宋体"/>
                <w:sz w:val="21"/>
                <w:szCs w:val="22"/>
                <w:highlight w:val="none"/>
              </w:rPr>
              <w:t>委托同一单位或者个人办理</w:t>
            </w:r>
            <w:r>
              <w:rPr>
                <w:rFonts w:hint="eastAsia" w:ascii="宋体" w:hAnsi="宋体" w:cs="宋体"/>
                <w:sz w:val="21"/>
                <w:szCs w:val="22"/>
                <w:highlight w:val="none"/>
                <w:lang w:val="en-US" w:eastAsia="zh-CN"/>
              </w:rPr>
              <w:t>投标</w:t>
            </w:r>
            <w:r>
              <w:rPr>
                <w:rFonts w:hint="eastAsia" w:ascii="宋体" w:hAnsi="宋体" w:cs="宋体"/>
                <w:sz w:val="21"/>
                <w:szCs w:val="22"/>
                <w:highlight w:val="none"/>
              </w:rPr>
              <w:t>事宜；</w:t>
            </w:r>
          </w:p>
          <w:p w14:paraId="60B3091F">
            <w:pPr>
              <w:widowControl/>
              <w:adjustRightInd w:val="0"/>
              <w:snapToGrid w:val="0"/>
              <w:rPr>
                <w:rFonts w:hint="eastAsia" w:ascii="宋体" w:hAnsi="宋体" w:cs="宋体"/>
                <w:sz w:val="21"/>
                <w:szCs w:val="22"/>
                <w:highlight w:val="none"/>
              </w:rPr>
            </w:pPr>
            <w:r>
              <w:rPr>
                <w:rFonts w:hint="eastAsia" w:ascii="宋体" w:hAnsi="宋体" w:cs="宋体"/>
                <w:sz w:val="21"/>
                <w:szCs w:val="22"/>
                <w:highlight w:val="none"/>
              </w:rPr>
              <w:t>（3）不同</w:t>
            </w:r>
            <w:r>
              <w:rPr>
                <w:rFonts w:hint="eastAsia" w:ascii="宋体" w:hAnsi="宋体" w:cs="宋体"/>
                <w:sz w:val="21"/>
                <w:szCs w:val="22"/>
                <w:highlight w:val="none"/>
                <w:lang w:eastAsia="zh-CN"/>
              </w:rPr>
              <w:t>供应商</w:t>
            </w:r>
            <w:r>
              <w:rPr>
                <w:rFonts w:hint="eastAsia" w:ascii="宋体" w:hAnsi="宋体" w:cs="宋体"/>
                <w:sz w:val="21"/>
                <w:szCs w:val="22"/>
                <w:highlight w:val="none"/>
              </w:rPr>
              <w:t>的</w:t>
            </w:r>
            <w:r>
              <w:rPr>
                <w:rFonts w:hint="eastAsia" w:ascii="宋体" w:hAnsi="宋体" w:cs="宋体"/>
                <w:sz w:val="21"/>
                <w:szCs w:val="22"/>
                <w:highlight w:val="none"/>
                <w:lang w:eastAsia="zh-CN"/>
              </w:rPr>
              <w:t>响应文件</w:t>
            </w:r>
            <w:r>
              <w:rPr>
                <w:rFonts w:hint="eastAsia" w:ascii="宋体" w:hAnsi="宋体" w:cs="宋体"/>
                <w:sz w:val="21"/>
                <w:szCs w:val="22"/>
                <w:highlight w:val="none"/>
              </w:rPr>
              <w:t>载明的项目管理成员或者联系人员为同一人；</w:t>
            </w:r>
          </w:p>
          <w:p w14:paraId="5A56D69D">
            <w:pPr>
              <w:widowControl/>
              <w:adjustRightInd w:val="0"/>
              <w:snapToGrid w:val="0"/>
              <w:rPr>
                <w:rFonts w:hint="eastAsia" w:ascii="宋体" w:hAnsi="宋体" w:cs="宋体"/>
                <w:sz w:val="21"/>
                <w:szCs w:val="22"/>
                <w:highlight w:val="none"/>
              </w:rPr>
            </w:pPr>
            <w:r>
              <w:rPr>
                <w:rFonts w:hint="eastAsia" w:ascii="宋体" w:hAnsi="宋体" w:cs="宋体"/>
                <w:sz w:val="21"/>
                <w:szCs w:val="22"/>
                <w:highlight w:val="none"/>
              </w:rPr>
              <w:t>（4）不同</w:t>
            </w:r>
            <w:r>
              <w:rPr>
                <w:rFonts w:hint="eastAsia" w:ascii="宋体" w:hAnsi="宋体" w:cs="宋体"/>
                <w:sz w:val="21"/>
                <w:szCs w:val="22"/>
                <w:highlight w:val="none"/>
                <w:lang w:eastAsia="zh-CN"/>
              </w:rPr>
              <w:t>供应商</w:t>
            </w:r>
            <w:r>
              <w:rPr>
                <w:rFonts w:hint="eastAsia" w:ascii="宋体" w:hAnsi="宋体" w:cs="宋体"/>
                <w:sz w:val="21"/>
                <w:szCs w:val="22"/>
                <w:highlight w:val="none"/>
              </w:rPr>
              <w:t>的</w:t>
            </w:r>
            <w:r>
              <w:rPr>
                <w:rFonts w:hint="eastAsia" w:ascii="宋体" w:hAnsi="宋体" w:cs="宋体"/>
                <w:sz w:val="21"/>
                <w:szCs w:val="22"/>
                <w:highlight w:val="none"/>
                <w:lang w:eastAsia="zh-CN"/>
              </w:rPr>
              <w:t>响应文件</w:t>
            </w:r>
            <w:r>
              <w:rPr>
                <w:rFonts w:hint="eastAsia" w:ascii="宋体" w:hAnsi="宋体" w:cs="宋体"/>
                <w:sz w:val="21"/>
                <w:szCs w:val="22"/>
                <w:highlight w:val="none"/>
              </w:rPr>
              <w:t>异常一致；</w:t>
            </w:r>
          </w:p>
          <w:p w14:paraId="705E7D70">
            <w:pPr>
              <w:widowControl/>
              <w:adjustRightInd w:val="0"/>
              <w:snapToGrid w:val="0"/>
              <w:rPr>
                <w:rFonts w:hint="eastAsia" w:ascii="宋体" w:hAnsi="宋体" w:cs="宋体"/>
                <w:sz w:val="21"/>
                <w:szCs w:val="22"/>
                <w:highlight w:val="none"/>
              </w:rPr>
            </w:pPr>
            <w:r>
              <w:rPr>
                <w:rFonts w:hint="eastAsia" w:ascii="宋体" w:hAnsi="宋体" w:cs="宋体"/>
                <w:sz w:val="21"/>
                <w:szCs w:val="22"/>
                <w:highlight w:val="none"/>
              </w:rPr>
              <w:t>（5）不同</w:t>
            </w:r>
            <w:r>
              <w:rPr>
                <w:rFonts w:hint="eastAsia" w:ascii="宋体" w:hAnsi="宋体" w:cs="宋体"/>
                <w:sz w:val="21"/>
                <w:szCs w:val="22"/>
                <w:highlight w:val="none"/>
                <w:lang w:eastAsia="zh-CN"/>
              </w:rPr>
              <w:t>供应商</w:t>
            </w:r>
            <w:r>
              <w:rPr>
                <w:rFonts w:hint="eastAsia" w:ascii="宋体" w:hAnsi="宋体" w:cs="宋体"/>
                <w:sz w:val="21"/>
                <w:szCs w:val="22"/>
                <w:highlight w:val="none"/>
              </w:rPr>
              <w:t>的</w:t>
            </w:r>
            <w:r>
              <w:rPr>
                <w:rFonts w:hint="eastAsia" w:ascii="宋体" w:hAnsi="宋体" w:cs="宋体"/>
                <w:sz w:val="21"/>
                <w:szCs w:val="22"/>
                <w:highlight w:val="none"/>
                <w:lang w:eastAsia="zh-CN"/>
              </w:rPr>
              <w:t>响应文件</w:t>
            </w:r>
            <w:r>
              <w:rPr>
                <w:rFonts w:hint="eastAsia" w:ascii="宋体" w:hAnsi="宋体" w:cs="宋体"/>
                <w:sz w:val="21"/>
                <w:szCs w:val="22"/>
                <w:highlight w:val="none"/>
              </w:rPr>
              <w:t>相互混装。</w:t>
            </w:r>
          </w:p>
        </w:tc>
        <w:tc>
          <w:tcPr>
            <w:tcW w:w="582" w:type="pct"/>
            <w:tcBorders>
              <w:top w:val="nil"/>
              <w:left w:val="nil"/>
              <w:bottom w:val="single" w:color="auto" w:sz="4" w:space="0"/>
              <w:right w:val="single" w:color="auto" w:sz="4" w:space="0"/>
            </w:tcBorders>
            <w:noWrap w:val="0"/>
            <w:vAlign w:val="center"/>
          </w:tcPr>
          <w:p w14:paraId="2B579263">
            <w:pPr>
              <w:widowControl/>
              <w:adjustRightInd w:val="0"/>
              <w:snapToGrid w:val="0"/>
              <w:rPr>
                <w:rFonts w:hint="eastAsia" w:ascii="宋体" w:hAnsi="宋体" w:cs="宋体"/>
                <w:sz w:val="21"/>
                <w:szCs w:val="22"/>
                <w:highlight w:val="none"/>
              </w:rPr>
            </w:pPr>
          </w:p>
        </w:tc>
      </w:tr>
      <w:tr w14:paraId="560F31E6">
        <w:tblPrEx>
          <w:tblCellMar>
            <w:top w:w="0" w:type="dxa"/>
            <w:left w:w="108" w:type="dxa"/>
            <w:bottom w:w="0" w:type="dxa"/>
            <w:right w:w="108" w:type="dxa"/>
          </w:tblCellMar>
        </w:tblPrEx>
        <w:trPr>
          <w:trHeight w:val="454" w:hRule="atLeast"/>
          <w:jc w:val="center"/>
        </w:trPr>
        <w:tc>
          <w:tcPr>
            <w:tcW w:w="4417" w:type="pct"/>
            <w:gridSpan w:val="2"/>
            <w:tcBorders>
              <w:top w:val="single" w:color="auto" w:sz="4" w:space="0"/>
              <w:left w:val="single" w:color="auto" w:sz="4" w:space="0"/>
              <w:bottom w:val="single" w:color="auto" w:sz="4" w:space="0"/>
              <w:right w:val="single" w:color="auto" w:sz="4" w:space="0"/>
            </w:tcBorders>
            <w:noWrap w:val="0"/>
            <w:vAlign w:val="center"/>
          </w:tcPr>
          <w:p w14:paraId="1C1E8AC5">
            <w:pPr>
              <w:widowControl/>
              <w:adjustRightInd w:val="0"/>
              <w:snapToGrid w:val="0"/>
              <w:jc w:val="center"/>
              <w:rPr>
                <w:rFonts w:hint="eastAsia" w:ascii="宋体" w:hAnsi="宋体" w:cs="宋体"/>
                <w:sz w:val="21"/>
                <w:szCs w:val="22"/>
                <w:highlight w:val="none"/>
              </w:rPr>
            </w:pPr>
            <w:r>
              <w:rPr>
                <w:rFonts w:hint="eastAsia" w:ascii="宋体" w:hAnsi="宋体" w:cs="宋体"/>
                <w:sz w:val="21"/>
                <w:szCs w:val="22"/>
                <w:highlight w:val="none"/>
              </w:rPr>
              <w:t>审核结论</w:t>
            </w:r>
          </w:p>
        </w:tc>
        <w:tc>
          <w:tcPr>
            <w:tcW w:w="582" w:type="pct"/>
            <w:tcBorders>
              <w:top w:val="single" w:color="auto" w:sz="4" w:space="0"/>
              <w:left w:val="nil"/>
              <w:bottom w:val="single" w:color="auto" w:sz="4" w:space="0"/>
              <w:right w:val="single" w:color="auto" w:sz="4" w:space="0"/>
            </w:tcBorders>
            <w:noWrap w:val="0"/>
            <w:vAlign w:val="center"/>
          </w:tcPr>
          <w:p w14:paraId="115D0300">
            <w:pPr>
              <w:widowControl/>
              <w:adjustRightInd w:val="0"/>
              <w:snapToGrid w:val="0"/>
              <w:rPr>
                <w:rFonts w:hint="eastAsia" w:ascii="宋体" w:hAnsi="宋体" w:cs="宋体"/>
                <w:sz w:val="21"/>
                <w:szCs w:val="22"/>
                <w:highlight w:val="none"/>
              </w:rPr>
            </w:pPr>
          </w:p>
        </w:tc>
      </w:tr>
      <w:bookmarkEnd w:id="17"/>
      <w:bookmarkEnd w:id="18"/>
      <w:bookmarkEnd w:id="19"/>
    </w:tbl>
    <w:p w14:paraId="12A81101">
      <w:pPr>
        <w:spacing w:line="360" w:lineRule="auto"/>
        <w:ind w:firstLine="482" w:firstLineChars="200"/>
        <w:rPr>
          <w:rFonts w:hint="eastAsia" w:ascii="宋体" w:hAnsi="宋体" w:cs="仿宋_GB2312"/>
          <w:b/>
          <w:kern w:val="2"/>
          <w:sz w:val="24"/>
          <w:szCs w:val="24"/>
          <w:highlight w:val="none"/>
        </w:rPr>
      </w:pPr>
      <w:bookmarkStart w:id="20" w:name="_Toc492403838"/>
      <w:bookmarkStart w:id="21" w:name="_Toc27945262"/>
      <w:bookmarkStart w:id="22" w:name="_Toc493702307"/>
      <w:r>
        <w:rPr>
          <w:rFonts w:hint="eastAsia" w:ascii="宋体" w:hAnsi="宋体" w:cs="仿宋_GB2312"/>
          <w:b/>
          <w:kern w:val="2"/>
          <w:sz w:val="24"/>
          <w:szCs w:val="24"/>
          <w:highlight w:val="none"/>
        </w:rPr>
        <w:t>（</w:t>
      </w:r>
      <w:r>
        <w:rPr>
          <w:rFonts w:hint="eastAsia" w:ascii="宋体" w:hAnsi="宋体" w:cs="仿宋_GB2312"/>
          <w:b/>
          <w:kern w:val="2"/>
          <w:sz w:val="24"/>
          <w:szCs w:val="24"/>
          <w:highlight w:val="none"/>
          <w:lang w:val="en-US" w:eastAsia="zh-CN"/>
        </w:rPr>
        <w:t>二</w:t>
      </w:r>
      <w:r>
        <w:rPr>
          <w:rFonts w:hint="eastAsia" w:ascii="宋体" w:hAnsi="宋体" w:cs="仿宋_GB2312"/>
          <w:b/>
          <w:kern w:val="2"/>
          <w:sz w:val="24"/>
          <w:szCs w:val="24"/>
          <w:highlight w:val="none"/>
        </w:rPr>
        <w:t>）比较与评价</w:t>
      </w:r>
      <w:bookmarkEnd w:id="20"/>
      <w:bookmarkEnd w:id="21"/>
      <w:bookmarkEnd w:id="22"/>
    </w:p>
    <w:p w14:paraId="21E78A43">
      <w:pPr>
        <w:spacing w:line="360" w:lineRule="auto"/>
        <w:ind w:firstLine="480" w:firstLineChars="200"/>
        <w:rPr>
          <w:rFonts w:hint="eastAsia" w:ascii="宋体" w:hAnsi="宋体" w:cs="仿宋_GB2312"/>
          <w:kern w:val="2"/>
          <w:sz w:val="24"/>
          <w:szCs w:val="24"/>
          <w:highlight w:val="none"/>
        </w:rPr>
      </w:pPr>
      <w:r>
        <w:rPr>
          <w:rFonts w:hint="eastAsia" w:ascii="宋体" w:hAnsi="宋体" w:cs="仿宋_GB2312"/>
          <w:kern w:val="2"/>
          <w:sz w:val="24"/>
          <w:szCs w:val="24"/>
          <w:highlight w:val="none"/>
        </w:rPr>
        <w:t>本次评标采用综合评分法（百分制），即 在最大限度地满足招标文件实质性要求前提下，按照招标文件规定的各项因素进行综合评审后，以得分高低依次排序。</w:t>
      </w:r>
    </w:p>
    <w:p w14:paraId="3CC4812B">
      <w:pPr>
        <w:spacing w:line="360" w:lineRule="auto"/>
        <w:ind w:firstLine="480" w:firstLineChars="200"/>
        <w:rPr>
          <w:rFonts w:hint="eastAsia" w:ascii="宋体" w:hAnsi="宋体" w:cs="仿宋_GB2312"/>
          <w:kern w:val="2"/>
          <w:sz w:val="24"/>
          <w:szCs w:val="24"/>
          <w:highlight w:val="none"/>
        </w:rPr>
      </w:pPr>
      <w:r>
        <w:rPr>
          <w:rFonts w:hint="eastAsia" w:ascii="宋体" w:hAnsi="宋体" w:cs="仿宋_GB2312"/>
          <w:kern w:val="2"/>
          <w:sz w:val="24"/>
          <w:szCs w:val="24"/>
          <w:highlight w:val="none"/>
        </w:rPr>
        <w:t>其中：满足招标文件要求且投标价格最低的投标报价为评标基准价，其价格分为满分。其他投标人的价格分统一按照下列公式计算：</w:t>
      </w:r>
    </w:p>
    <w:p w14:paraId="41684359">
      <w:pPr>
        <w:spacing w:line="360" w:lineRule="auto"/>
        <w:ind w:firstLine="480" w:firstLineChars="200"/>
        <w:rPr>
          <w:rFonts w:hint="eastAsia" w:ascii="宋体" w:hAnsi="宋体" w:cs="仿宋_GB2312"/>
          <w:kern w:val="2"/>
          <w:sz w:val="24"/>
          <w:szCs w:val="24"/>
          <w:highlight w:val="none"/>
        </w:rPr>
      </w:pPr>
      <w:r>
        <w:rPr>
          <w:rFonts w:hint="eastAsia" w:ascii="宋体" w:hAnsi="宋体" w:cs="仿宋_GB2312"/>
          <w:kern w:val="2"/>
          <w:sz w:val="24"/>
          <w:szCs w:val="24"/>
          <w:highlight w:val="none"/>
        </w:rPr>
        <w:t>投标报价得分=(评标基准价／投标报价)×价格权值×100</w:t>
      </w:r>
    </w:p>
    <w:p w14:paraId="3B994267">
      <w:pPr>
        <w:spacing w:line="360" w:lineRule="auto"/>
        <w:ind w:firstLine="480" w:firstLineChars="200"/>
        <w:rPr>
          <w:rFonts w:hint="eastAsia" w:ascii="宋体" w:hAnsi="宋体" w:cs="仿宋_GB2312"/>
          <w:kern w:val="2"/>
          <w:sz w:val="24"/>
          <w:szCs w:val="24"/>
          <w:highlight w:val="none"/>
        </w:rPr>
      </w:pPr>
      <w:r>
        <w:rPr>
          <w:rFonts w:hint="eastAsia" w:ascii="宋体" w:hAnsi="宋体" w:cs="仿宋_GB2312"/>
          <w:kern w:val="2"/>
          <w:sz w:val="24"/>
          <w:szCs w:val="24"/>
          <w:highlight w:val="none"/>
        </w:rPr>
        <w:t>其他分值按打分表计算。</w:t>
      </w:r>
    </w:p>
    <w:p w14:paraId="3488ABEF">
      <w:pPr>
        <w:spacing w:line="360" w:lineRule="auto"/>
        <w:ind w:firstLine="480" w:firstLineChars="200"/>
        <w:rPr>
          <w:rFonts w:hint="eastAsia" w:ascii="宋体" w:hAnsi="宋体" w:cs="仿宋_GB2312"/>
          <w:kern w:val="2"/>
          <w:sz w:val="24"/>
          <w:szCs w:val="24"/>
          <w:highlight w:val="none"/>
        </w:rPr>
      </w:pPr>
      <w:r>
        <w:rPr>
          <w:rFonts w:hint="eastAsia" w:ascii="宋体" w:hAnsi="宋体" w:cs="仿宋_GB2312"/>
          <w:kern w:val="2"/>
          <w:sz w:val="24"/>
          <w:szCs w:val="24"/>
          <w:highlight w:val="none"/>
        </w:rPr>
        <w:t>评审委员会</w:t>
      </w:r>
      <w:r>
        <w:rPr>
          <w:rFonts w:hint="eastAsia" w:ascii="宋体" w:hAnsi="宋体" w:cs="仿宋_GB2312"/>
          <w:kern w:val="2"/>
          <w:sz w:val="24"/>
          <w:szCs w:val="24"/>
          <w:highlight w:val="none"/>
          <w:lang w:val="zh-CN"/>
        </w:rPr>
        <w:t>按供应商报价</w:t>
      </w:r>
      <w:r>
        <w:rPr>
          <w:rFonts w:hint="eastAsia" w:ascii="宋体" w:hAnsi="宋体" w:cs="仿宋_GB2312"/>
          <w:kern w:val="2"/>
          <w:sz w:val="24"/>
          <w:szCs w:val="24"/>
          <w:highlight w:val="none"/>
        </w:rPr>
        <w:t>由</w:t>
      </w:r>
      <w:r>
        <w:rPr>
          <w:rFonts w:hint="eastAsia" w:ascii="宋体" w:hAnsi="宋体" w:cs="仿宋_GB2312"/>
          <w:kern w:val="2"/>
          <w:sz w:val="24"/>
          <w:szCs w:val="24"/>
          <w:highlight w:val="none"/>
          <w:lang w:val="en-US" w:eastAsia="zh-CN"/>
        </w:rPr>
        <w:t>低</w:t>
      </w:r>
      <w:r>
        <w:rPr>
          <w:rFonts w:hint="eastAsia" w:ascii="宋体" w:hAnsi="宋体" w:cs="仿宋_GB2312"/>
          <w:kern w:val="2"/>
          <w:sz w:val="24"/>
          <w:szCs w:val="24"/>
          <w:highlight w:val="none"/>
        </w:rPr>
        <w:t>到</w:t>
      </w:r>
      <w:r>
        <w:rPr>
          <w:rFonts w:hint="eastAsia" w:ascii="宋体" w:hAnsi="宋体" w:cs="仿宋_GB2312"/>
          <w:kern w:val="2"/>
          <w:sz w:val="24"/>
          <w:szCs w:val="24"/>
          <w:highlight w:val="none"/>
          <w:lang w:val="en-US" w:eastAsia="zh-CN"/>
        </w:rPr>
        <w:t>高</w:t>
      </w:r>
      <w:r>
        <w:rPr>
          <w:rFonts w:hint="eastAsia" w:ascii="宋体" w:hAnsi="宋体" w:cs="仿宋_GB2312"/>
          <w:kern w:val="2"/>
          <w:sz w:val="24"/>
          <w:szCs w:val="24"/>
          <w:highlight w:val="none"/>
        </w:rPr>
        <w:t>顺序排列。得分相同的，按投标报价由低到高顺序排列；得分且投标报价相同的，按技术指标优劣顺序排列。</w:t>
      </w:r>
    </w:p>
    <w:p w14:paraId="5E102C1F">
      <w:pPr>
        <w:spacing w:line="360" w:lineRule="auto"/>
        <w:ind w:firstLine="482" w:firstLineChars="200"/>
        <w:rPr>
          <w:rFonts w:hint="eastAsia" w:ascii="宋体" w:hAnsi="宋体" w:cs="仿宋_GB2312"/>
          <w:b/>
          <w:kern w:val="2"/>
          <w:sz w:val="24"/>
          <w:szCs w:val="24"/>
          <w:highlight w:val="none"/>
        </w:rPr>
      </w:pPr>
      <w:bookmarkStart w:id="23" w:name="_Toc493702308"/>
      <w:bookmarkStart w:id="24" w:name="_Toc492403839"/>
      <w:bookmarkStart w:id="25" w:name="_Toc27945263"/>
      <w:r>
        <w:rPr>
          <w:rFonts w:hint="eastAsia" w:ascii="宋体" w:hAnsi="宋体" w:cs="仿宋_GB2312"/>
          <w:b/>
          <w:kern w:val="2"/>
          <w:sz w:val="24"/>
          <w:szCs w:val="24"/>
          <w:highlight w:val="none"/>
        </w:rPr>
        <w:t>（</w:t>
      </w:r>
      <w:r>
        <w:rPr>
          <w:rFonts w:hint="eastAsia" w:ascii="宋体" w:hAnsi="宋体" w:cs="仿宋_GB2312"/>
          <w:b/>
          <w:kern w:val="2"/>
          <w:sz w:val="24"/>
          <w:szCs w:val="24"/>
          <w:highlight w:val="none"/>
          <w:lang w:val="en-US" w:eastAsia="zh-CN"/>
        </w:rPr>
        <w:t>三</w:t>
      </w:r>
      <w:r>
        <w:rPr>
          <w:rFonts w:hint="eastAsia" w:ascii="宋体" w:hAnsi="宋体" w:cs="仿宋_GB2312"/>
          <w:b/>
          <w:kern w:val="2"/>
          <w:sz w:val="24"/>
          <w:szCs w:val="24"/>
          <w:highlight w:val="none"/>
        </w:rPr>
        <w:t>）推荐</w:t>
      </w:r>
      <w:r>
        <w:rPr>
          <w:rFonts w:hint="eastAsia" w:ascii="宋体" w:hAnsi="宋体" w:cs="仿宋_GB2312"/>
          <w:b/>
          <w:kern w:val="2"/>
          <w:sz w:val="24"/>
          <w:szCs w:val="24"/>
          <w:highlight w:val="none"/>
          <w:lang w:val="en-US" w:eastAsia="zh-CN"/>
        </w:rPr>
        <w:t>成交供应商</w:t>
      </w:r>
      <w:r>
        <w:rPr>
          <w:rFonts w:hint="eastAsia" w:ascii="宋体" w:hAnsi="宋体" w:cs="仿宋_GB2312"/>
          <w:b/>
          <w:kern w:val="2"/>
          <w:sz w:val="24"/>
          <w:szCs w:val="24"/>
          <w:highlight w:val="none"/>
        </w:rPr>
        <w:t>名单</w:t>
      </w:r>
      <w:bookmarkEnd w:id="23"/>
      <w:bookmarkEnd w:id="24"/>
      <w:bookmarkEnd w:id="25"/>
    </w:p>
    <w:p w14:paraId="05FDD38A">
      <w:pPr>
        <w:spacing w:line="360" w:lineRule="auto"/>
        <w:ind w:firstLine="480" w:firstLineChars="200"/>
        <w:rPr>
          <w:rFonts w:hint="eastAsia" w:ascii="宋体" w:hAnsi="宋体" w:cs="仿宋_GB2312"/>
          <w:b/>
          <w:kern w:val="2"/>
          <w:sz w:val="24"/>
          <w:szCs w:val="24"/>
          <w:highlight w:val="none"/>
        </w:rPr>
      </w:pPr>
      <w:r>
        <w:rPr>
          <w:rFonts w:hint="eastAsia" w:ascii="宋体" w:hAnsi="宋体" w:cs="仿宋_GB2312"/>
          <w:kern w:val="2"/>
          <w:sz w:val="24"/>
          <w:szCs w:val="24"/>
          <w:highlight w:val="none"/>
          <w:lang w:val="en-US" w:eastAsia="zh-CN"/>
        </w:rPr>
        <w:t>成交供应商</w:t>
      </w:r>
      <w:r>
        <w:rPr>
          <w:rFonts w:hint="eastAsia" w:ascii="宋体" w:hAnsi="宋体" w:cs="仿宋_GB2312"/>
          <w:kern w:val="2"/>
          <w:sz w:val="24"/>
          <w:szCs w:val="24"/>
          <w:highlight w:val="none"/>
        </w:rPr>
        <w:t>数量</w:t>
      </w:r>
      <w:r>
        <w:rPr>
          <w:rFonts w:hint="eastAsia" w:ascii="宋体" w:hAnsi="宋体" w:cs="仿宋_GB2312"/>
          <w:kern w:val="2"/>
          <w:sz w:val="24"/>
          <w:szCs w:val="24"/>
          <w:highlight w:val="none"/>
          <w:lang w:val="en-US" w:eastAsia="zh-CN"/>
        </w:rPr>
        <w:t>为1家</w:t>
      </w:r>
      <w:r>
        <w:rPr>
          <w:rFonts w:hint="eastAsia" w:ascii="宋体" w:hAnsi="宋体" w:cs="仿宋_GB2312"/>
          <w:kern w:val="2"/>
          <w:sz w:val="24"/>
          <w:szCs w:val="24"/>
          <w:highlight w:val="none"/>
        </w:rPr>
        <w:t>。</w:t>
      </w:r>
    </w:p>
    <w:p w14:paraId="572081F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highlight w:val="none"/>
          <w:lang w:val="en-US" w:eastAsia="zh-CN"/>
        </w:rPr>
      </w:pPr>
    </w:p>
    <w:p w14:paraId="7E117CD0">
      <w:pPr>
        <w:pStyle w:val="3"/>
        <w:numPr>
          <w:ilvl w:val="0"/>
          <w:numId w:val="7"/>
        </w:numPr>
        <w:autoSpaceDE/>
        <w:autoSpaceDN/>
        <w:adjustRightInd/>
        <w:spacing w:before="0" w:after="0" w:line="360" w:lineRule="auto"/>
        <w:rPr>
          <w:rFonts w:hint="eastAsia" w:ascii="微软雅黑" w:hAnsi="微软雅黑" w:eastAsia="微软雅黑" w:cs="微软雅黑"/>
          <w:bCs/>
          <w:kern w:val="44"/>
          <w:sz w:val="32"/>
          <w:szCs w:val="32"/>
          <w:highlight w:val="none"/>
          <w:lang w:val="en-US" w:eastAsia="zh-CN"/>
        </w:rPr>
      </w:pPr>
      <w:r>
        <w:rPr>
          <w:rFonts w:hint="eastAsia" w:ascii="微软雅黑" w:hAnsi="微软雅黑" w:eastAsia="微软雅黑" w:cs="微软雅黑"/>
          <w:bCs/>
          <w:kern w:val="44"/>
          <w:sz w:val="32"/>
          <w:szCs w:val="32"/>
          <w:highlight w:val="none"/>
          <w:lang w:val="en-US" w:eastAsia="zh-CN"/>
        </w:rPr>
        <w:t>报价清单</w:t>
      </w:r>
    </w:p>
    <w:tbl>
      <w:tblPr>
        <w:tblStyle w:val="10"/>
        <w:tblW w:w="89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9"/>
        <w:gridCol w:w="1225"/>
        <w:gridCol w:w="2400"/>
        <w:gridCol w:w="1665"/>
        <w:gridCol w:w="1005"/>
        <w:gridCol w:w="964"/>
        <w:gridCol w:w="938"/>
      </w:tblGrid>
      <w:tr w14:paraId="4EDF2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34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E5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项目涉及学院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B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服务内容清单</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F3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预估数量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B1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5EF5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单价（元）</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F9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5E20B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D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1B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食品科技学院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7A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搬运运输服务</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E0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BB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CB0F9">
            <w:pPr>
              <w:jc w:val="center"/>
              <w:rPr>
                <w:rFonts w:hint="eastAsia" w:ascii="宋体" w:hAnsi="宋体" w:eastAsia="宋体" w:cs="宋体"/>
                <w:i w:val="0"/>
                <w:iCs w:val="0"/>
                <w:color w:val="000000"/>
                <w:sz w:val="24"/>
                <w:szCs w:val="24"/>
                <w:u w:val="none"/>
              </w:rPr>
            </w:pP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63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3D45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B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E838">
            <w:pPr>
              <w:jc w:val="center"/>
              <w:rPr>
                <w:rFonts w:hint="eastAsia" w:ascii="宋体" w:hAnsi="宋体" w:eastAsia="宋体" w:cs="宋体"/>
                <w:i w:val="0"/>
                <w:iCs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AC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办公家具拆卸安装服务</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2F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4D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4066">
            <w:pPr>
              <w:jc w:val="center"/>
              <w:rPr>
                <w:rFonts w:hint="eastAsia" w:ascii="宋体" w:hAnsi="宋体" w:eastAsia="宋体" w:cs="宋体"/>
                <w:i w:val="0"/>
                <w:iCs w:val="0"/>
                <w:color w:val="000000"/>
                <w:sz w:val="24"/>
                <w:szCs w:val="24"/>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A0365">
            <w:pPr>
              <w:jc w:val="center"/>
              <w:rPr>
                <w:rFonts w:hint="eastAsia" w:ascii="宋体" w:hAnsi="宋体" w:eastAsia="宋体" w:cs="宋体"/>
                <w:i w:val="0"/>
                <w:iCs w:val="0"/>
                <w:color w:val="000000"/>
                <w:sz w:val="24"/>
                <w:szCs w:val="24"/>
                <w:u w:val="none"/>
              </w:rPr>
            </w:pPr>
          </w:p>
        </w:tc>
      </w:tr>
      <w:tr w14:paraId="673B1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5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1E00">
            <w:pPr>
              <w:jc w:val="center"/>
              <w:rPr>
                <w:rFonts w:hint="eastAsia" w:ascii="宋体" w:hAnsi="宋体" w:eastAsia="宋体" w:cs="宋体"/>
                <w:i w:val="0"/>
                <w:iCs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22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办公家具打包服务</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57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E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458F4">
            <w:pPr>
              <w:jc w:val="center"/>
              <w:rPr>
                <w:rFonts w:hint="eastAsia" w:ascii="宋体" w:hAnsi="宋体" w:eastAsia="宋体" w:cs="宋体"/>
                <w:i w:val="0"/>
                <w:iCs w:val="0"/>
                <w:color w:val="000000"/>
                <w:sz w:val="24"/>
                <w:szCs w:val="24"/>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BBFF4">
            <w:pPr>
              <w:jc w:val="center"/>
              <w:rPr>
                <w:rFonts w:hint="eastAsia" w:ascii="宋体" w:hAnsi="宋体" w:eastAsia="宋体" w:cs="宋体"/>
                <w:i w:val="0"/>
                <w:iCs w:val="0"/>
                <w:color w:val="000000"/>
                <w:sz w:val="24"/>
                <w:szCs w:val="24"/>
                <w:u w:val="none"/>
              </w:rPr>
            </w:pPr>
          </w:p>
        </w:tc>
      </w:tr>
      <w:tr w14:paraId="6BAF6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F5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C345">
            <w:pPr>
              <w:jc w:val="center"/>
              <w:rPr>
                <w:rFonts w:hint="eastAsia" w:ascii="宋体" w:hAnsi="宋体" w:eastAsia="宋体" w:cs="宋体"/>
                <w:i w:val="0"/>
                <w:iCs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C0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辅材纸箱(100L)</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1E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63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E37A">
            <w:pPr>
              <w:jc w:val="center"/>
              <w:rPr>
                <w:rFonts w:hint="eastAsia" w:ascii="宋体" w:hAnsi="宋体" w:eastAsia="宋体" w:cs="宋体"/>
                <w:i w:val="0"/>
                <w:iCs w:val="0"/>
                <w:color w:val="000000"/>
                <w:sz w:val="24"/>
                <w:szCs w:val="24"/>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0D0C8">
            <w:pPr>
              <w:jc w:val="center"/>
              <w:rPr>
                <w:rFonts w:hint="eastAsia" w:ascii="宋体" w:hAnsi="宋体" w:eastAsia="宋体" w:cs="宋体"/>
                <w:i w:val="0"/>
                <w:iCs w:val="0"/>
                <w:color w:val="000000"/>
                <w:sz w:val="24"/>
                <w:szCs w:val="24"/>
                <w:u w:val="none"/>
              </w:rPr>
            </w:pPr>
          </w:p>
        </w:tc>
      </w:tr>
      <w:tr w14:paraId="10AD1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31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FE2E">
            <w:pPr>
              <w:jc w:val="center"/>
              <w:rPr>
                <w:rFonts w:hint="eastAsia" w:ascii="宋体" w:hAnsi="宋体" w:eastAsia="宋体" w:cs="宋体"/>
                <w:i w:val="0"/>
                <w:iCs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B0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封口胶、标签、记号笔</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3C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81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E443">
            <w:pPr>
              <w:jc w:val="center"/>
              <w:rPr>
                <w:rFonts w:hint="eastAsia" w:ascii="宋体" w:hAnsi="宋体" w:eastAsia="宋体" w:cs="宋体"/>
                <w:i w:val="0"/>
                <w:iCs w:val="0"/>
                <w:color w:val="000000"/>
                <w:sz w:val="24"/>
                <w:szCs w:val="24"/>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E523C">
            <w:pPr>
              <w:jc w:val="center"/>
              <w:rPr>
                <w:rFonts w:hint="eastAsia" w:ascii="宋体" w:hAnsi="宋体" w:eastAsia="宋体" w:cs="宋体"/>
                <w:i w:val="0"/>
                <w:iCs w:val="0"/>
                <w:color w:val="000000"/>
                <w:sz w:val="24"/>
                <w:szCs w:val="24"/>
                <w:u w:val="none"/>
              </w:rPr>
            </w:pPr>
          </w:p>
        </w:tc>
      </w:tr>
      <w:tr w14:paraId="5C1AD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4A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E663">
            <w:pPr>
              <w:jc w:val="center"/>
              <w:rPr>
                <w:rFonts w:hint="eastAsia" w:ascii="宋体" w:hAnsi="宋体" w:eastAsia="宋体" w:cs="宋体"/>
                <w:i w:val="0"/>
                <w:iCs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71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气泡膜</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B7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5B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15ED">
            <w:pPr>
              <w:jc w:val="center"/>
              <w:rPr>
                <w:rFonts w:hint="eastAsia" w:ascii="宋体" w:hAnsi="宋体" w:eastAsia="宋体" w:cs="宋体"/>
                <w:i w:val="0"/>
                <w:iCs w:val="0"/>
                <w:color w:val="000000"/>
                <w:sz w:val="24"/>
                <w:szCs w:val="24"/>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E365E">
            <w:pPr>
              <w:jc w:val="center"/>
              <w:rPr>
                <w:rFonts w:hint="eastAsia" w:ascii="宋体" w:hAnsi="宋体" w:eastAsia="宋体" w:cs="宋体"/>
                <w:i w:val="0"/>
                <w:iCs w:val="0"/>
                <w:color w:val="000000"/>
                <w:sz w:val="24"/>
                <w:szCs w:val="24"/>
                <w:u w:val="none"/>
              </w:rPr>
            </w:pPr>
          </w:p>
        </w:tc>
      </w:tr>
      <w:tr w14:paraId="665FB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68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8A9E">
            <w:pPr>
              <w:jc w:val="center"/>
              <w:rPr>
                <w:rFonts w:hint="eastAsia" w:ascii="宋体" w:hAnsi="宋体" w:eastAsia="宋体" w:cs="宋体"/>
                <w:i w:val="0"/>
                <w:iCs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4A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其他不可预见费</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BF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57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8DB3C">
            <w:pPr>
              <w:jc w:val="center"/>
              <w:rPr>
                <w:rFonts w:hint="eastAsia" w:ascii="宋体" w:hAnsi="宋体" w:eastAsia="宋体" w:cs="宋体"/>
                <w:i w:val="0"/>
                <w:iCs w:val="0"/>
                <w:color w:val="000000"/>
                <w:sz w:val="24"/>
                <w:szCs w:val="24"/>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39191">
            <w:pPr>
              <w:jc w:val="center"/>
              <w:rPr>
                <w:rFonts w:hint="eastAsia" w:ascii="宋体" w:hAnsi="宋体" w:eastAsia="宋体" w:cs="宋体"/>
                <w:i w:val="0"/>
                <w:iCs w:val="0"/>
                <w:color w:val="000000"/>
                <w:sz w:val="24"/>
                <w:szCs w:val="24"/>
                <w:u w:val="none"/>
              </w:rPr>
            </w:pPr>
          </w:p>
        </w:tc>
      </w:tr>
      <w:tr w14:paraId="098C9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CE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7C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旅游管理学院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C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搬运运输服务</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910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6E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72BF">
            <w:pPr>
              <w:jc w:val="center"/>
              <w:rPr>
                <w:rFonts w:hint="eastAsia" w:ascii="宋体" w:hAnsi="宋体" w:eastAsia="宋体" w:cs="宋体"/>
                <w:i w:val="0"/>
                <w:iCs w:val="0"/>
                <w:color w:val="000000"/>
                <w:sz w:val="24"/>
                <w:szCs w:val="24"/>
                <w:u w:val="none"/>
              </w:rPr>
            </w:pP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36FE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BE81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72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FC794">
            <w:pPr>
              <w:jc w:val="center"/>
              <w:rPr>
                <w:rFonts w:hint="eastAsia" w:ascii="宋体" w:hAnsi="宋体" w:eastAsia="宋体" w:cs="宋体"/>
                <w:i w:val="0"/>
                <w:iCs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581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办公家具拆卸安装服务</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9D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90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D0C3">
            <w:pPr>
              <w:jc w:val="center"/>
              <w:rPr>
                <w:rFonts w:hint="eastAsia" w:ascii="宋体" w:hAnsi="宋体" w:eastAsia="宋体" w:cs="宋体"/>
                <w:i w:val="0"/>
                <w:iCs w:val="0"/>
                <w:color w:val="000000"/>
                <w:sz w:val="24"/>
                <w:szCs w:val="24"/>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4EFDD">
            <w:pPr>
              <w:jc w:val="center"/>
              <w:rPr>
                <w:rFonts w:hint="eastAsia" w:ascii="宋体" w:hAnsi="宋体" w:eastAsia="宋体" w:cs="宋体"/>
                <w:i w:val="0"/>
                <w:iCs w:val="0"/>
                <w:color w:val="000000"/>
                <w:sz w:val="24"/>
                <w:szCs w:val="24"/>
                <w:u w:val="none"/>
              </w:rPr>
            </w:pPr>
          </w:p>
        </w:tc>
      </w:tr>
      <w:tr w14:paraId="6FAA7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99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D082">
            <w:pPr>
              <w:jc w:val="center"/>
              <w:rPr>
                <w:rFonts w:hint="eastAsia" w:ascii="宋体" w:hAnsi="宋体" w:eastAsia="宋体" w:cs="宋体"/>
                <w:i w:val="0"/>
                <w:iCs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F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办公家具打包服务</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79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D5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E3F4">
            <w:pPr>
              <w:jc w:val="center"/>
              <w:rPr>
                <w:rFonts w:hint="eastAsia" w:ascii="宋体" w:hAnsi="宋体" w:eastAsia="宋体" w:cs="宋体"/>
                <w:i w:val="0"/>
                <w:iCs w:val="0"/>
                <w:color w:val="000000"/>
                <w:sz w:val="24"/>
                <w:szCs w:val="24"/>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09A74">
            <w:pPr>
              <w:jc w:val="center"/>
              <w:rPr>
                <w:rFonts w:hint="eastAsia" w:ascii="宋体" w:hAnsi="宋体" w:eastAsia="宋体" w:cs="宋体"/>
                <w:i w:val="0"/>
                <w:iCs w:val="0"/>
                <w:color w:val="000000"/>
                <w:sz w:val="24"/>
                <w:szCs w:val="24"/>
                <w:u w:val="none"/>
              </w:rPr>
            </w:pPr>
          </w:p>
        </w:tc>
      </w:tr>
      <w:tr w14:paraId="52BC0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9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298C4">
            <w:pPr>
              <w:jc w:val="center"/>
              <w:rPr>
                <w:rFonts w:hint="eastAsia" w:ascii="宋体" w:hAnsi="宋体" w:eastAsia="宋体" w:cs="宋体"/>
                <w:i w:val="0"/>
                <w:iCs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7A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辅材纸箱(100L)</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0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F8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5C1B">
            <w:pPr>
              <w:jc w:val="center"/>
              <w:rPr>
                <w:rFonts w:hint="eastAsia" w:ascii="宋体" w:hAnsi="宋体" w:eastAsia="宋体" w:cs="宋体"/>
                <w:i w:val="0"/>
                <w:iCs w:val="0"/>
                <w:color w:val="000000"/>
                <w:sz w:val="24"/>
                <w:szCs w:val="24"/>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77029">
            <w:pPr>
              <w:jc w:val="center"/>
              <w:rPr>
                <w:rFonts w:hint="eastAsia" w:ascii="宋体" w:hAnsi="宋体" w:eastAsia="宋体" w:cs="宋体"/>
                <w:i w:val="0"/>
                <w:iCs w:val="0"/>
                <w:color w:val="000000"/>
                <w:sz w:val="24"/>
                <w:szCs w:val="24"/>
                <w:u w:val="none"/>
              </w:rPr>
            </w:pPr>
          </w:p>
        </w:tc>
      </w:tr>
      <w:tr w14:paraId="61862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3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8DF2C">
            <w:pPr>
              <w:jc w:val="center"/>
              <w:rPr>
                <w:rFonts w:hint="eastAsia" w:ascii="宋体" w:hAnsi="宋体" w:eastAsia="宋体" w:cs="宋体"/>
                <w:i w:val="0"/>
                <w:iCs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74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封口胶、标签、记号笔</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C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81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49F3">
            <w:pPr>
              <w:jc w:val="center"/>
              <w:rPr>
                <w:rFonts w:hint="eastAsia" w:ascii="宋体" w:hAnsi="宋体" w:eastAsia="宋体" w:cs="宋体"/>
                <w:i w:val="0"/>
                <w:iCs w:val="0"/>
                <w:color w:val="000000"/>
                <w:sz w:val="24"/>
                <w:szCs w:val="24"/>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26FE7">
            <w:pPr>
              <w:jc w:val="center"/>
              <w:rPr>
                <w:rFonts w:hint="eastAsia" w:ascii="宋体" w:hAnsi="宋体" w:eastAsia="宋体" w:cs="宋体"/>
                <w:i w:val="0"/>
                <w:iCs w:val="0"/>
                <w:color w:val="000000"/>
                <w:sz w:val="24"/>
                <w:szCs w:val="24"/>
                <w:u w:val="none"/>
              </w:rPr>
            </w:pPr>
          </w:p>
        </w:tc>
      </w:tr>
      <w:tr w14:paraId="18853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4C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27702">
            <w:pPr>
              <w:jc w:val="center"/>
              <w:rPr>
                <w:rFonts w:hint="eastAsia" w:ascii="宋体" w:hAnsi="宋体" w:eastAsia="宋体" w:cs="宋体"/>
                <w:i w:val="0"/>
                <w:iCs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AC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气泡膜</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B2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3E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FD71">
            <w:pPr>
              <w:jc w:val="center"/>
              <w:rPr>
                <w:rFonts w:hint="eastAsia" w:ascii="宋体" w:hAnsi="宋体" w:eastAsia="宋体" w:cs="宋体"/>
                <w:i w:val="0"/>
                <w:iCs w:val="0"/>
                <w:color w:val="000000"/>
                <w:sz w:val="24"/>
                <w:szCs w:val="24"/>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BCDAC">
            <w:pPr>
              <w:jc w:val="center"/>
              <w:rPr>
                <w:rFonts w:hint="eastAsia" w:ascii="宋体" w:hAnsi="宋体" w:eastAsia="宋体" w:cs="宋体"/>
                <w:i w:val="0"/>
                <w:iCs w:val="0"/>
                <w:color w:val="000000"/>
                <w:sz w:val="24"/>
                <w:szCs w:val="24"/>
                <w:u w:val="none"/>
              </w:rPr>
            </w:pPr>
          </w:p>
        </w:tc>
      </w:tr>
      <w:tr w14:paraId="240A0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2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14DF">
            <w:pPr>
              <w:jc w:val="center"/>
              <w:rPr>
                <w:rFonts w:hint="eastAsia" w:ascii="宋体" w:hAnsi="宋体" w:eastAsia="宋体" w:cs="宋体"/>
                <w:i w:val="0"/>
                <w:iCs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DD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其他不可预见费</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8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D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7681">
            <w:pPr>
              <w:jc w:val="center"/>
              <w:rPr>
                <w:rFonts w:hint="eastAsia" w:ascii="宋体" w:hAnsi="宋体" w:eastAsia="宋体" w:cs="宋体"/>
                <w:i w:val="0"/>
                <w:iCs w:val="0"/>
                <w:color w:val="000000"/>
                <w:sz w:val="24"/>
                <w:szCs w:val="24"/>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7BF41">
            <w:pPr>
              <w:jc w:val="center"/>
              <w:rPr>
                <w:rFonts w:hint="eastAsia" w:ascii="宋体" w:hAnsi="宋体" w:eastAsia="宋体" w:cs="宋体"/>
                <w:i w:val="0"/>
                <w:iCs w:val="0"/>
                <w:color w:val="000000"/>
                <w:sz w:val="24"/>
                <w:szCs w:val="24"/>
                <w:u w:val="none"/>
              </w:rPr>
            </w:pPr>
          </w:p>
        </w:tc>
      </w:tr>
      <w:tr w14:paraId="64FB5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70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C2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总价（元）</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C3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ED49">
            <w:pPr>
              <w:jc w:val="center"/>
              <w:rPr>
                <w:rFonts w:hint="eastAsia" w:ascii="宋体" w:hAnsi="宋体" w:eastAsia="宋体" w:cs="宋体"/>
                <w:i w:val="0"/>
                <w:iCs w:val="0"/>
                <w:color w:val="000000"/>
                <w:sz w:val="24"/>
                <w:szCs w:val="24"/>
                <w:u w:val="none"/>
              </w:rPr>
            </w:pPr>
          </w:p>
        </w:tc>
      </w:tr>
    </w:tbl>
    <w:p w14:paraId="46DFA6FD">
      <w:pPr>
        <w:numPr>
          <w:ilvl w:val="0"/>
          <w:numId w:val="0"/>
        </w:numPr>
        <w:rPr>
          <w:rFonts w:hint="default"/>
          <w:lang w:val="en-US" w:eastAsia="zh-CN"/>
        </w:rPr>
      </w:pPr>
    </w:p>
    <w:p w14:paraId="56C2D8A4">
      <w:pPr>
        <w:pStyle w:val="3"/>
        <w:numPr>
          <w:ilvl w:val="0"/>
          <w:numId w:val="0"/>
        </w:numPr>
        <w:autoSpaceDE/>
        <w:autoSpaceDN/>
        <w:adjustRightInd/>
        <w:spacing w:before="0" w:after="0" w:line="360" w:lineRule="auto"/>
        <w:jc w:val="both"/>
        <w:rPr>
          <w:rFonts w:hint="eastAsia" w:ascii="微软雅黑" w:hAnsi="微软雅黑" w:eastAsia="微软雅黑" w:cs="微软雅黑"/>
          <w:bCs/>
          <w:kern w:val="44"/>
          <w:sz w:val="32"/>
          <w:szCs w:val="32"/>
          <w:highlight w:val="none"/>
          <w:lang w:val="en-US" w:eastAsia="zh-CN"/>
        </w:rPr>
      </w:pPr>
    </w:p>
    <w:p w14:paraId="3913370A">
      <w:pPr>
        <w:pStyle w:val="3"/>
        <w:numPr>
          <w:ilvl w:val="0"/>
          <w:numId w:val="0"/>
        </w:numPr>
        <w:autoSpaceDE/>
        <w:autoSpaceDN/>
        <w:adjustRightInd/>
        <w:spacing w:before="0" w:after="0" w:line="360" w:lineRule="auto"/>
        <w:rPr>
          <w:rFonts w:hint="default" w:ascii="微软雅黑" w:hAnsi="微软雅黑" w:eastAsia="微软雅黑" w:cs="微软雅黑"/>
          <w:bCs/>
          <w:kern w:val="44"/>
          <w:sz w:val="32"/>
          <w:szCs w:val="32"/>
          <w:highlight w:val="none"/>
          <w:lang w:val="en-US" w:eastAsia="zh-CN"/>
        </w:rPr>
      </w:pPr>
      <w:r>
        <w:rPr>
          <w:rFonts w:hint="eastAsia" w:ascii="微软雅黑" w:hAnsi="微软雅黑" w:eastAsia="微软雅黑" w:cs="微软雅黑"/>
          <w:bCs/>
          <w:kern w:val="44"/>
          <w:sz w:val="32"/>
          <w:szCs w:val="32"/>
          <w:highlight w:val="none"/>
          <w:lang w:val="en-US" w:eastAsia="zh-CN"/>
        </w:rPr>
        <w:t>第五章 评分标准</w:t>
      </w:r>
    </w:p>
    <w:tbl>
      <w:tblPr>
        <w:tblStyle w:val="10"/>
        <w:tblW w:w="10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170"/>
        <w:gridCol w:w="955"/>
        <w:gridCol w:w="734"/>
        <w:gridCol w:w="8077"/>
      </w:tblGrid>
      <w:tr w14:paraId="3F85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170" w:type="dxa"/>
            <w:tcBorders>
              <w:top w:val="single" w:color="auto" w:sz="4" w:space="0"/>
              <w:left w:val="single" w:color="auto" w:sz="4" w:space="0"/>
              <w:bottom w:val="single" w:color="auto" w:sz="4" w:space="0"/>
              <w:right w:val="single" w:color="auto" w:sz="4" w:space="0"/>
            </w:tcBorders>
            <w:shd w:val="clear" w:color="auto" w:fill="F2F2F2"/>
            <w:vAlign w:val="center"/>
          </w:tcPr>
          <w:p w14:paraId="55A3E5F7">
            <w:pPr>
              <w:spacing w:line="240" w:lineRule="auto"/>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评标项目</w:t>
            </w:r>
          </w:p>
        </w:tc>
        <w:tc>
          <w:tcPr>
            <w:tcW w:w="955" w:type="dxa"/>
            <w:tcBorders>
              <w:top w:val="single" w:color="auto" w:sz="4" w:space="0"/>
              <w:left w:val="single" w:color="auto" w:sz="4" w:space="0"/>
              <w:bottom w:val="single" w:color="auto" w:sz="4" w:space="0"/>
              <w:right w:val="single" w:color="auto" w:sz="4" w:space="0"/>
            </w:tcBorders>
            <w:shd w:val="clear" w:color="auto" w:fill="F2F2F2"/>
            <w:vAlign w:val="center"/>
          </w:tcPr>
          <w:p w14:paraId="3EC47F93">
            <w:pPr>
              <w:spacing w:line="240" w:lineRule="auto"/>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评分因素</w:t>
            </w:r>
          </w:p>
        </w:tc>
        <w:tc>
          <w:tcPr>
            <w:tcW w:w="734" w:type="dxa"/>
            <w:tcBorders>
              <w:top w:val="single" w:color="auto" w:sz="4" w:space="0"/>
              <w:left w:val="single" w:color="auto" w:sz="4" w:space="0"/>
              <w:bottom w:val="single" w:color="auto" w:sz="4" w:space="0"/>
              <w:right w:val="single" w:color="auto" w:sz="4" w:space="0"/>
            </w:tcBorders>
            <w:shd w:val="clear" w:color="auto" w:fill="F2F2F2"/>
            <w:tcMar>
              <w:top w:w="17" w:type="dxa"/>
              <w:left w:w="28" w:type="dxa"/>
              <w:bottom w:w="17" w:type="dxa"/>
              <w:right w:w="28" w:type="dxa"/>
            </w:tcMar>
            <w:vAlign w:val="center"/>
          </w:tcPr>
          <w:p w14:paraId="69AA48D8">
            <w:pPr>
              <w:spacing w:line="240" w:lineRule="auto"/>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分值</w:t>
            </w:r>
          </w:p>
        </w:tc>
        <w:tc>
          <w:tcPr>
            <w:tcW w:w="8077" w:type="dxa"/>
            <w:tcBorders>
              <w:top w:val="single" w:color="auto" w:sz="4" w:space="0"/>
              <w:left w:val="single" w:color="auto" w:sz="4" w:space="0"/>
              <w:bottom w:val="single" w:color="auto" w:sz="4" w:space="0"/>
              <w:right w:val="single" w:color="auto" w:sz="4" w:space="0"/>
            </w:tcBorders>
            <w:shd w:val="clear" w:color="auto" w:fill="F2F2F2"/>
            <w:tcMar>
              <w:top w:w="17" w:type="dxa"/>
              <w:left w:w="108" w:type="dxa"/>
              <w:bottom w:w="17" w:type="dxa"/>
              <w:right w:w="108" w:type="dxa"/>
            </w:tcMar>
            <w:vAlign w:val="center"/>
          </w:tcPr>
          <w:p w14:paraId="2DBD77EB">
            <w:pPr>
              <w:spacing w:line="240" w:lineRule="auto"/>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rPr>
              <w:t>评分标准及分值</w:t>
            </w:r>
          </w:p>
        </w:tc>
      </w:tr>
      <w:tr w14:paraId="34E10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170" w:type="dxa"/>
            <w:tcBorders>
              <w:top w:val="single" w:color="auto" w:sz="4" w:space="0"/>
              <w:left w:val="single" w:color="auto" w:sz="4" w:space="0"/>
              <w:bottom w:val="single" w:color="auto" w:sz="4" w:space="0"/>
              <w:right w:val="single" w:color="auto" w:sz="4" w:space="0"/>
            </w:tcBorders>
            <w:vAlign w:val="center"/>
          </w:tcPr>
          <w:p w14:paraId="0A620AB7">
            <w:pPr>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价格评审（</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0分）</w:t>
            </w:r>
          </w:p>
        </w:tc>
        <w:tc>
          <w:tcPr>
            <w:tcW w:w="955" w:type="dxa"/>
            <w:tcBorders>
              <w:top w:val="single" w:color="auto" w:sz="4" w:space="0"/>
              <w:left w:val="single" w:color="auto" w:sz="4" w:space="0"/>
              <w:bottom w:val="single" w:color="auto" w:sz="4" w:space="0"/>
              <w:right w:val="single" w:color="auto" w:sz="4" w:space="0"/>
            </w:tcBorders>
            <w:vAlign w:val="center"/>
          </w:tcPr>
          <w:p w14:paraId="0A827360">
            <w:pPr>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投标报价</w:t>
            </w:r>
          </w:p>
        </w:tc>
        <w:tc>
          <w:tcPr>
            <w:tcW w:w="734" w:type="dxa"/>
            <w:tcBorders>
              <w:top w:val="single" w:color="auto" w:sz="4" w:space="0"/>
              <w:left w:val="single" w:color="auto" w:sz="4" w:space="0"/>
              <w:bottom w:val="single" w:color="auto" w:sz="4" w:space="0"/>
              <w:right w:val="single" w:color="auto" w:sz="4" w:space="0"/>
            </w:tcBorders>
            <w:tcMar>
              <w:top w:w="17" w:type="dxa"/>
              <w:left w:w="28" w:type="dxa"/>
              <w:bottom w:w="17" w:type="dxa"/>
              <w:right w:w="28" w:type="dxa"/>
            </w:tcMar>
            <w:vAlign w:val="center"/>
          </w:tcPr>
          <w:p w14:paraId="6B723A72">
            <w:pPr>
              <w:spacing w:line="24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0</w:t>
            </w:r>
            <w:r>
              <w:rPr>
                <w:rFonts w:hint="eastAsia" w:ascii="宋体" w:hAnsi="宋体" w:cs="宋体"/>
                <w:sz w:val="21"/>
                <w:szCs w:val="21"/>
                <w:highlight w:val="none"/>
                <w:lang w:eastAsia="zh-CN"/>
              </w:rPr>
              <w:t>分</w:t>
            </w:r>
          </w:p>
        </w:tc>
        <w:tc>
          <w:tcPr>
            <w:tcW w:w="8077" w:type="dxa"/>
            <w:tcBorders>
              <w:top w:val="single" w:color="auto" w:sz="4" w:space="0"/>
              <w:left w:val="single" w:color="auto" w:sz="4" w:space="0"/>
              <w:bottom w:val="single" w:color="auto" w:sz="4" w:space="0"/>
              <w:right w:val="single" w:color="auto" w:sz="4" w:space="0"/>
            </w:tcBorders>
            <w:tcMar>
              <w:top w:w="17" w:type="dxa"/>
              <w:left w:w="108" w:type="dxa"/>
              <w:bottom w:w="17" w:type="dxa"/>
              <w:right w:w="108" w:type="dxa"/>
            </w:tcMar>
            <w:vAlign w:val="center"/>
          </w:tcPr>
          <w:p w14:paraId="6220FE72">
            <w:pPr>
              <w:adjustRightInd w:val="0"/>
              <w:snapToGrid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满足招标文件要求且投标价格最低的投标报价为评标基准价，其价格分为满分。其他投标人的价格分统一按照下列公式计算：</w:t>
            </w:r>
          </w:p>
          <w:p w14:paraId="3D2F274C">
            <w:pPr>
              <w:adjustRightInd w:val="0"/>
              <w:snapToGrid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投标报价得分=（评标基准价／投标报价)×价格权值×100</w:t>
            </w:r>
          </w:p>
          <w:p w14:paraId="2191872A">
            <w:pPr>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价格权值=</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6</w:t>
            </w:r>
            <w:r>
              <w:rPr>
                <w:rFonts w:hint="eastAsia" w:ascii="宋体" w:hAnsi="宋体" w:eastAsia="宋体" w:cs="宋体"/>
                <w:sz w:val="21"/>
                <w:szCs w:val="21"/>
                <w:highlight w:val="none"/>
                <w:u w:val="single"/>
              </w:rPr>
              <w:t xml:space="preserve">0 </w:t>
            </w:r>
            <w:r>
              <w:rPr>
                <w:rFonts w:hint="eastAsia" w:ascii="宋体" w:hAnsi="宋体" w:eastAsia="宋体" w:cs="宋体"/>
                <w:sz w:val="21"/>
                <w:szCs w:val="21"/>
                <w:highlight w:val="none"/>
              </w:rPr>
              <w:t>%</w:t>
            </w:r>
          </w:p>
        </w:tc>
      </w:tr>
      <w:tr w14:paraId="19E3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70" w:type="dxa"/>
            <w:tcBorders>
              <w:top w:val="single" w:color="auto" w:sz="4" w:space="0"/>
              <w:left w:val="single" w:color="auto" w:sz="4" w:space="0"/>
              <w:right w:val="single" w:color="auto" w:sz="4" w:space="0"/>
            </w:tcBorders>
            <w:vAlign w:val="center"/>
          </w:tcPr>
          <w:p w14:paraId="584693C1">
            <w:pPr>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商务部分（</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分）</w:t>
            </w:r>
          </w:p>
        </w:tc>
        <w:tc>
          <w:tcPr>
            <w:tcW w:w="955" w:type="dxa"/>
            <w:tcBorders>
              <w:top w:val="single" w:color="auto" w:sz="4" w:space="0"/>
              <w:left w:val="single" w:color="auto" w:sz="4" w:space="0"/>
              <w:right w:val="single" w:color="auto" w:sz="4" w:space="0"/>
            </w:tcBorders>
            <w:vAlign w:val="center"/>
          </w:tcPr>
          <w:p w14:paraId="3C76D1EF">
            <w:pPr>
              <w:widowControl/>
              <w:spacing w:line="240" w:lineRule="auto"/>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类似业绩</w:t>
            </w:r>
          </w:p>
        </w:tc>
        <w:tc>
          <w:tcPr>
            <w:tcW w:w="734" w:type="dxa"/>
            <w:tcBorders>
              <w:top w:val="single" w:color="auto" w:sz="4" w:space="0"/>
              <w:left w:val="single" w:color="auto" w:sz="4" w:space="0"/>
              <w:right w:val="single" w:color="auto" w:sz="4" w:space="0"/>
            </w:tcBorders>
            <w:tcMar>
              <w:top w:w="17" w:type="dxa"/>
              <w:left w:w="108" w:type="dxa"/>
              <w:bottom w:w="17" w:type="dxa"/>
              <w:right w:w="108" w:type="dxa"/>
            </w:tcMar>
            <w:vAlign w:val="center"/>
          </w:tcPr>
          <w:p w14:paraId="1AFB1276">
            <w:pPr>
              <w:widowControl/>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sz w:val="21"/>
                <w:szCs w:val="21"/>
                <w:highlight w:val="none"/>
                <w:lang w:val="en-US" w:eastAsia="zh-CN"/>
              </w:rPr>
              <w:t>10</w:t>
            </w:r>
            <w:r>
              <w:rPr>
                <w:rFonts w:hint="eastAsia" w:ascii="宋体" w:hAnsi="宋体" w:cs="宋体"/>
                <w:sz w:val="21"/>
                <w:szCs w:val="21"/>
                <w:highlight w:val="none"/>
                <w:lang w:eastAsia="zh-CN"/>
              </w:rPr>
              <w:t>分</w:t>
            </w:r>
          </w:p>
        </w:tc>
        <w:tc>
          <w:tcPr>
            <w:tcW w:w="8077" w:type="dxa"/>
            <w:tcBorders>
              <w:top w:val="single" w:color="auto" w:sz="4" w:space="0"/>
              <w:left w:val="single" w:color="auto" w:sz="4" w:space="0"/>
              <w:bottom w:val="single" w:color="auto" w:sz="4" w:space="0"/>
              <w:right w:val="single" w:color="auto" w:sz="4" w:space="0"/>
            </w:tcBorders>
            <w:tcMar>
              <w:top w:w="17" w:type="dxa"/>
              <w:left w:w="108" w:type="dxa"/>
              <w:bottom w:w="17" w:type="dxa"/>
              <w:right w:w="108" w:type="dxa"/>
            </w:tcMar>
            <w:vAlign w:val="center"/>
          </w:tcPr>
          <w:p w14:paraId="4CD9252F">
            <w:pPr>
              <w:tabs>
                <w:tab w:val="left" w:pos="690"/>
              </w:tabs>
              <w:spacing w:line="240" w:lineRule="auto"/>
              <w:rPr>
                <w:rFonts w:hint="eastAsia" w:ascii="宋体" w:hAnsi="宋体" w:eastAsia="宋体" w:cs="宋体"/>
                <w:b w:val="0"/>
                <w:bCs w:val="0"/>
                <w:color w:val="auto"/>
                <w:kern w:val="0"/>
                <w:sz w:val="21"/>
                <w:szCs w:val="21"/>
                <w:highlight w:val="none"/>
              </w:rPr>
            </w:pPr>
            <w:r>
              <w:rPr>
                <w:rFonts w:hint="eastAsia" w:ascii="宋体" w:hAnsi="宋体" w:cs="宋体"/>
                <w:b w:val="0"/>
                <w:bCs w:val="0"/>
                <w:color w:val="auto"/>
                <w:kern w:val="0"/>
                <w:sz w:val="21"/>
                <w:szCs w:val="21"/>
                <w:highlight w:val="none"/>
                <w:lang w:val="en-US" w:eastAsia="zh-CN"/>
              </w:rPr>
              <w:t>投标人自</w:t>
            </w:r>
            <w:r>
              <w:rPr>
                <w:rFonts w:hint="eastAsia" w:ascii="宋体" w:hAnsi="宋体" w:eastAsia="宋体" w:cs="宋体"/>
                <w:b w:val="0"/>
                <w:bCs w:val="0"/>
                <w:color w:val="auto"/>
                <w:kern w:val="0"/>
                <w:sz w:val="21"/>
                <w:szCs w:val="21"/>
                <w:highlight w:val="none"/>
              </w:rPr>
              <w:t>202</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年</w:t>
            </w: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月</w:t>
            </w:r>
            <w:r>
              <w:rPr>
                <w:rFonts w:hint="eastAsia" w:ascii="宋体" w:hAnsi="宋体" w:eastAsia="宋体" w:cs="宋体"/>
                <w:b w:val="0"/>
                <w:bCs w:val="0"/>
                <w:color w:val="auto"/>
                <w:kern w:val="0"/>
                <w:sz w:val="21"/>
                <w:szCs w:val="21"/>
                <w:highlight w:val="none"/>
                <w:lang w:val="en-US" w:eastAsia="zh-CN"/>
              </w:rPr>
              <w:t>1日</w:t>
            </w:r>
            <w:r>
              <w:rPr>
                <w:rFonts w:hint="eastAsia" w:ascii="宋体" w:hAnsi="宋体" w:eastAsia="宋体" w:cs="宋体"/>
                <w:b w:val="0"/>
                <w:bCs w:val="0"/>
                <w:color w:val="auto"/>
                <w:kern w:val="0"/>
                <w:sz w:val="21"/>
                <w:szCs w:val="21"/>
                <w:highlight w:val="none"/>
              </w:rPr>
              <w:t>至今（以合同签订时间为准）以来承担过类似项目业绩，每项得</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分，满分</w:t>
            </w:r>
            <w:r>
              <w:rPr>
                <w:rFonts w:hint="eastAsia" w:ascii="宋体" w:hAnsi="宋体" w:cs="宋体"/>
                <w:b w:val="0"/>
                <w:bCs w:val="0"/>
                <w:color w:val="auto"/>
                <w:kern w:val="0"/>
                <w:sz w:val="21"/>
                <w:szCs w:val="21"/>
                <w:highlight w:val="none"/>
                <w:lang w:val="en-US" w:eastAsia="zh-CN"/>
              </w:rPr>
              <w:t>10</w:t>
            </w:r>
            <w:r>
              <w:rPr>
                <w:rFonts w:hint="eastAsia" w:ascii="宋体" w:hAnsi="宋体" w:eastAsia="宋体" w:cs="宋体"/>
                <w:b w:val="0"/>
                <w:bCs w:val="0"/>
                <w:color w:val="auto"/>
                <w:kern w:val="0"/>
                <w:sz w:val="21"/>
                <w:szCs w:val="21"/>
                <w:highlight w:val="none"/>
              </w:rPr>
              <w:t>分。</w:t>
            </w:r>
          </w:p>
          <w:p w14:paraId="6AFF6EF0">
            <w:pPr>
              <w:tabs>
                <w:tab w:val="left" w:pos="690"/>
              </w:tabs>
              <w:spacing w:line="240" w:lineRule="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注：（1）上述业绩应同时提供中标通知书、合同</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否则不予计分</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（2）同一项目多次委托的合同不重复计分</w:t>
            </w:r>
            <w:r>
              <w:rPr>
                <w:rFonts w:hint="eastAsia" w:ascii="宋体" w:hAnsi="宋体" w:eastAsia="宋体" w:cs="宋体"/>
                <w:b w:val="0"/>
                <w:bCs w:val="0"/>
                <w:color w:val="auto"/>
                <w:kern w:val="0"/>
                <w:sz w:val="21"/>
                <w:szCs w:val="21"/>
                <w:highlight w:val="none"/>
                <w:lang w:eastAsia="zh-CN"/>
              </w:rPr>
              <w:t>。</w:t>
            </w:r>
          </w:p>
        </w:tc>
      </w:tr>
      <w:tr w14:paraId="6B81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145" w:hRule="atLeast"/>
          <w:jc w:val="center"/>
        </w:trPr>
        <w:tc>
          <w:tcPr>
            <w:tcW w:w="1170" w:type="dxa"/>
            <w:vMerge w:val="restart"/>
            <w:tcBorders>
              <w:top w:val="single" w:color="auto" w:sz="4" w:space="0"/>
              <w:left w:val="single" w:color="auto" w:sz="4" w:space="0"/>
              <w:bottom w:val="single" w:color="auto" w:sz="4" w:space="0"/>
              <w:right w:val="single" w:color="auto" w:sz="4" w:space="0"/>
            </w:tcBorders>
            <w:vAlign w:val="center"/>
          </w:tcPr>
          <w:p w14:paraId="2B6E9A79">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技术部分（</w:t>
            </w:r>
            <w:r>
              <w:rPr>
                <w:rFonts w:hint="eastAsia" w:ascii="宋体" w:hAnsi="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分）</w:t>
            </w:r>
          </w:p>
        </w:tc>
        <w:tc>
          <w:tcPr>
            <w:tcW w:w="955" w:type="dxa"/>
            <w:tcBorders>
              <w:top w:val="single" w:color="auto" w:sz="4" w:space="0"/>
              <w:left w:val="single" w:color="auto" w:sz="4" w:space="0"/>
              <w:right w:val="single" w:color="auto" w:sz="4" w:space="0"/>
            </w:tcBorders>
            <w:shd w:val="clear" w:color="auto" w:fill="auto"/>
            <w:vAlign w:val="center"/>
          </w:tcPr>
          <w:p w14:paraId="75FEADFF">
            <w:pPr>
              <w:widowControl/>
              <w:spacing w:line="240" w:lineRule="auto"/>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项目实施方案</w:t>
            </w:r>
          </w:p>
        </w:tc>
        <w:tc>
          <w:tcPr>
            <w:tcW w:w="734" w:type="dxa"/>
            <w:tcBorders>
              <w:top w:val="single" w:color="auto" w:sz="4" w:space="0"/>
              <w:left w:val="single" w:color="auto" w:sz="4" w:space="0"/>
              <w:right w:val="single" w:color="auto" w:sz="4" w:space="0"/>
            </w:tcBorders>
            <w:tcMar>
              <w:top w:w="17" w:type="dxa"/>
              <w:left w:w="108" w:type="dxa"/>
              <w:bottom w:w="17" w:type="dxa"/>
              <w:right w:w="108" w:type="dxa"/>
            </w:tcMar>
            <w:vAlign w:val="center"/>
          </w:tcPr>
          <w:p w14:paraId="45E4AC39">
            <w:pPr>
              <w:spacing w:line="240" w:lineRule="auto"/>
              <w:ind w:firstLine="0" w:firstLineChars="0"/>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10分</w:t>
            </w:r>
          </w:p>
        </w:tc>
        <w:tc>
          <w:tcPr>
            <w:tcW w:w="8077" w:type="dxa"/>
            <w:tcBorders>
              <w:top w:val="single" w:color="auto" w:sz="4" w:space="0"/>
              <w:left w:val="single" w:color="auto" w:sz="4" w:space="0"/>
              <w:bottom w:val="single" w:color="auto" w:sz="4" w:space="0"/>
              <w:right w:val="single" w:color="auto" w:sz="4" w:space="0"/>
            </w:tcBorders>
            <w:shd w:val="clear" w:color="auto" w:fill="auto"/>
            <w:tcMar>
              <w:top w:w="17" w:type="dxa"/>
              <w:left w:w="108" w:type="dxa"/>
              <w:bottom w:w="17" w:type="dxa"/>
              <w:right w:w="108" w:type="dxa"/>
            </w:tcMar>
            <w:vAlign w:val="center"/>
          </w:tcPr>
          <w:p w14:paraId="0ACEADBB">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根据</w:t>
            </w:r>
            <w:r>
              <w:rPr>
                <w:rFonts w:hint="eastAsia" w:ascii="宋体" w:hAnsi="宋体" w:eastAsia="宋体" w:cs="宋体"/>
                <w:sz w:val="21"/>
                <w:szCs w:val="21"/>
                <w:lang w:val="en-US" w:eastAsia="zh-CN"/>
              </w:rPr>
              <w:t>投标人</w:t>
            </w:r>
            <w:r>
              <w:rPr>
                <w:rFonts w:hint="eastAsia" w:ascii="宋体" w:hAnsi="宋体" w:eastAsia="宋体" w:cs="宋体"/>
                <w:sz w:val="21"/>
                <w:szCs w:val="21"/>
              </w:rPr>
              <w:t>提供的</w:t>
            </w:r>
            <w:r>
              <w:rPr>
                <w:rFonts w:hint="eastAsia" w:ascii="宋体" w:hAnsi="宋体" w:eastAsia="宋体" w:cs="宋体"/>
                <w:sz w:val="21"/>
                <w:szCs w:val="21"/>
                <w:lang w:eastAsia="zh-CN"/>
              </w:rPr>
              <w:t>项目</w:t>
            </w:r>
            <w:r>
              <w:rPr>
                <w:rFonts w:hint="eastAsia" w:ascii="宋体" w:hAnsi="宋体" w:eastAsia="宋体" w:cs="宋体"/>
                <w:sz w:val="21"/>
                <w:szCs w:val="21"/>
              </w:rPr>
              <w:t>实施方案进行评审，</w:t>
            </w:r>
            <w:r>
              <w:rPr>
                <w:rFonts w:hint="eastAsia" w:ascii="宋体" w:hAnsi="宋体" w:eastAsia="宋体" w:cs="宋体"/>
                <w:sz w:val="21"/>
                <w:szCs w:val="21"/>
                <w:highlight w:val="none"/>
              </w:rPr>
              <w:t>方案包含但不限于项目</w:t>
            </w:r>
            <w:r>
              <w:rPr>
                <w:rFonts w:hint="eastAsia" w:ascii="宋体" w:hAnsi="宋体" w:eastAsia="宋体" w:cs="宋体"/>
                <w:sz w:val="21"/>
                <w:szCs w:val="21"/>
                <w:highlight w:val="none"/>
                <w:lang w:eastAsia="zh-CN"/>
              </w:rPr>
              <w:t>整体</w:t>
            </w:r>
            <w:r>
              <w:rPr>
                <w:rFonts w:hint="eastAsia" w:ascii="宋体" w:hAnsi="宋体" w:eastAsia="宋体" w:cs="宋体"/>
                <w:sz w:val="21"/>
                <w:szCs w:val="21"/>
                <w:highlight w:val="none"/>
              </w:rPr>
              <w:t>实施</w:t>
            </w:r>
            <w:r>
              <w:rPr>
                <w:rFonts w:hint="eastAsia" w:ascii="宋体" w:hAnsi="宋体" w:eastAsia="宋体" w:cs="宋体"/>
                <w:sz w:val="21"/>
                <w:szCs w:val="21"/>
                <w:highlight w:val="none"/>
                <w:lang w:eastAsia="zh-CN"/>
              </w:rPr>
              <w:t>方案</w:t>
            </w:r>
            <w:r>
              <w:rPr>
                <w:rFonts w:hint="eastAsia" w:ascii="宋体" w:hAnsi="宋体" w:eastAsia="宋体" w:cs="宋体"/>
                <w:sz w:val="21"/>
                <w:szCs w:val="21"/>
                <w:highlight w:val="none"/>
              </w:rPr>
              <w:t>等，方案重点突出、描述清晰完整、充分结合实际且针对性强的得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分；方案重点不突出、描述较完整、结合实际且针对性较强的得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分，方案编制简单、只作简略说明没有突出重点的得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分；方案缺失得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分；未提供的不得分。</w:t>
            </w:r>
          </w:p>
        </w:tc>
      </w:tr>
      <w:tr w14:paraId="562F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55" w:hRule="atLeast"/>
          <w:jc w:val="center"/>
        </w:trPr>
        <w:tc>
          <w:tcPr>
            <w:tcW w:w="1170" w:type="dxa"/>
            <w:vMerge w:val="continue"/>
            <w:tcBorders>
              <w:left w:val="single" w:color="auto" w:sz="4" w:space="0"/>
              <w:right w:val="single" w:color="auto" w:sz="4" w:space="0"/>
            </w:tcBorders>
            <w:vAlign w:val="center"/>
          </w:tcPr>
          <w:p w14:paraId="72856648">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955" w:type="dxa"/>
            <w:tcBorders>
              <w:top w:val="single" w:color="auto" w:sz="4" w:space="0"/>
              <w:left w:val="single" w:color="auto" w:sz="4" w:space="0"/>
              <w:right w:val="single" w:color="auto" w:sz="4" w:space="0"/>
            </w:tcBorders>
            <w:shd w:val="clear" w:color="auto" w:fill="auto"/>
            <w:vAlign w:val="center"/>
          </w:tcPr>
          <w:p w14:paraId="1614060A">
            <w:pPr>
              <w:widowControl/>
              <w:spacing w:line="240" w:lineRule="auto"/>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服务保证及处罚措施</w:t>
            </w:r>
          </w:p>
        </w:tc>
        <w:tc>
          <w:tcPr>
            <w:tcW w:w="734" w:type="dxa"/>
            <w:tcBorders>
              <w:top w:val="single" w:color="auto" w:sz="4" w:space="0"/>
              <w:left w:val="single" w:color="auto" w:sz="4" w:space="0"/>
              <w:bottom w:val="single" w:color="auto" w:sz="4" w:space="0"/>
              <w:right w:val="single" w:color="auto" w:sz="4" w:space="0"/>
            </w:tcBorders>
            <w:tcMar>
              <w:top w:w="17" w:type="dxa"/>
              <w:left w:w="108" w:type="dxa"/>
              <w:bottom w:w="17" w:type="dxa"/>
              <w:right w:w="108" w:type="dxa"/>
            </w:tcMar>
            <w:vAlign w:val="center"/>
          </w:tcPr>
          <w:p w14:paraId="233BD4FA">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10分</w:t>
            </w:r>
          </w:p>
        </w:tc>
        <w:tc>
          <w:tcPr>
            <w:tcW w:w="8077" w:type="dxa"/>
            <w:tcBorders>
              <w:top w:val="single" w:color="auto" w:sz="4" w:space="0"/>
              <w:left w:val="single" w:color="auto" w:sz="4" w:space="0"/>
              <w:bottom w:val="single" w:color="auto" w:sz="4" w:space="0"/>
              <w:right w:val="single" w:color="auto" w:sz="4" w:space="0"/>
            </w:tcBorders>
            <w:shd w:val="clear" w:color="auto" w:fill="auto"/>
            <w:tcMar>
              <w:top w:w="17" w:type="dxa"/>
              <w:left w:w="108" w:type="dxa"/>
              <w:bottom w:w="17" w:type="dxa"/>
              <w:right w:w="108" w:type="dxa"/>
            </w:tcMar>
            <w:vAlign w:val="center"/>
          </w:tcPr>
          <w:p w14:paraId="039D9290">
            <w:pPr>
              <w:keepNext w:val="0"/>
              <w:keepLines w:val="0"/>
              <w:widowControl/>
              <w:numPr>
                <w:ilvl w:val="0"/>
                <w:numId w:val="0"/>
              </w:numPr>
              <w:suppressLineNumbers w:val="0"/>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根据</w:t>
            </w:r>
            <w:r>
              <w:rPr>
                <w:rFonts w:hint="eastAsia" w:ascii="宋体" w:hAnsi="宋体" w:eastAsia="宋体" w:cs="宋体"/>
                <w:sz w:val="21"/>
                <w:szCs w:val="21"/>
                <w:lang w:val="en-US" w:eastAsia="zh-CN"/>
              </w:rPr>
              <w:t>投标人</w:t>
            </w:r>
            <w:r>
              <w:rPr>
                <w:rFonts w:hint="eastAsia" w:ascii="宋体" w:hAnsi="宋体" w:eastAsia="宋体" w:cs="宋体"/>
                <w:sz w:val="21"/>
                <w:szCs w:val="21"/>
              </w:rPr>
              <w:t>提供的</w:t>
            </w:r>
            <w:r>
              <w:rPr>
                <w:rFonts w:hint="eastAsia" w:ascii="宋体" w:hAnsi="宋体" w:eastAsia="宋体" w:cs="宋体"/>
                <w:sz w:val="21"/>
                <w:szCs w:val="21"/>
                <w:lang w:val="en-US" w:eastAsia="zh-CN"/>
              </w:rPr>
              <w:t>搬迁服务保证及处罚措施进行评审，包含但不限于服务时间保证、服务</w:t>
            </w:r>
            <w:r>
              <w:rPr>
                <w:rFonts w:hint="eastAsia" w:ascii="宋体" w:hAnsi="宋体" w:eastAsia="宋体" w:cs="宋体"/>
                <w:color w:val="auto"/>
                <w:kern w:val="0"/>
                <w:sz w:val="21"/>
                <w:szCs w:val="21"/>
                <w:lang w:val="en-US" w:eastAsia="zh-CN"/>
              </w:rPr>
              <w:t>质量保障及处罚措施以及家具损坏修理赔偿等，</w:t>
            </w:r>
            <w:r>
              <w:rPr>
                <w:rFonts w:hint="eastAsia" w:ascii="宋体" w:hAnsi="宋体" w:eastAsia="宋体" w:cs="宋体"/>
                <w:sz w:val="21"/>
                <w:szCs w:val="21"/>
              </w:rPr>
              <w:t>全面合理、可行性高、内容完善且科学合理可行、文字条理清晰的得</w:t>
            </w:r>
            <w:r>
              <w:rPr>
                <w:rFonts w:hint="eastAsia" w:ascii="宋体" w:hAnsi="宋体" w:cs="宋体"/>
                <w:sz w:val="21"/>
                <w:szCs w:val="21"/>
                <w:lang w:val="en-US" w:eastAsia="zh-CN"/>
              </w:rPr>
              <w:t>10</w:t>
            </w:r>
            <w:r>
              <w:rPr>
                <w:rFonts w:hint="eastAsia" w:ascii="宋体" w:hAnsi="宋体" w:eastAsia="宋体" w:cs="宋体"/>
                <w:sz w:val="21"/>
                <w:szCs w:val="21"/>
              </w:rPr>
              <w:t>分；基本全面，可行性较高、</w:t>
            </w:r>
            <w:r>
              <w:rPr>
                <w:rFonts w:hint="eastAsia" w:ascii="宋体" w:hAnsi="宋体" w:eastAsia="宋体" w:cs="宋体"/>
                <w:sz w:val="21"/>
                <w:szCs w:val="21"/>
                <w:lang w:eastAsia="zh-CN"/>
              </w:rPr>
              <w:t>内容</w:t>
            </w:r>
            <w:r>
              <w:rPr>
                <w:rFonts w:hint="eastAsia" w:ascii="宋体" w:hAnsi="宋体" w:eastAsia="宋体" w:cs="宋体"/>
                <w:sz w:val="21"/>
                <w:szCs w:val="21"/>
              </w:rPr>
              <w:t>有待进一步完善，文字条理</w:t>
            </w:r>
            <w:r>
              <w:rPr>
                <w:rFonts w:hint="eastAsia" w:ascii="宋体" w:hAnsi="宋体" w:eastAsia="宋体" w:cs="宋体"/>
                <w:sz w:val="21"/>
                <w:szCs w:val="21"/>
                <w:lang w:eastAsia="zh-CN"/>
              </w:rPr>
              <w:t>基本</w:t>
            </w:r>
            <w:r>
              <w:rPr>
                <w:rFonts w:hint="eastAsia" w:ascii="宋体" w:hAnsi="宋体" w:eastAsia="宋体" w:cs="宋体"/>
                <w:sz w:val="21"/>
                <w:szCs w:val="21"/>
              </w:rPr>
              <w:t>清晰的得</w:t>
            </w:r>
            <w:r>
              <w:rPr>
                <w:rFonts w:hint="eastAsia" w:ascii="宋体" w:hAnsi="宋体" w:eastAsia="宋体" w:cs="宋体"/>
                <w:sz w:val="21"/>
                <w:szCs w:val="21"/>
                <w:lang w:val="en-US" w:eastAsia="zh-CN"/>
              </w:rPr>
              <w:t>6</w:t>
            </w:r>
            <w:r>
              <w:rPr>
                <w:rFonts w:hint="eastAsia" w:ascii="宋体" w:hAnsi="宋体" w:eastAsia="宋体" w:cs="宋体"/>
                <w:sz w:val="21"/>
                <w:szCs w:val="21"/>
              </w:rPr>
              <w:t>分；基本描述，内容不全，存在缺陷的、可行性低的得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未提供</w:t>
            </w:r>
            <w:r>
              <w:rPr>
                <w:rFonts w:hint="eastAsia" w:ascii="宋体" w:hAnsi="宋体" w:eastAsia="宋体" w:cs="宋体"/>
                <w:sz w:val="21"/>
                <w:szCs w:val="21"/>
                <w:lang w:eastAsia="zh-CN"/>
              </w:rPr>
              <w:t>的</w:t>
            </w:r>
            <w:r>
              <w:rPr>
                <w:rFonts w:hint="eastAsia" w:ascii="宋体" w:hAnsi="宋体" w:eastAsia="宋体" w:cs="宋体"/>
                <w:sz w:val="21"/>
                <w:szCs w:val="21"/>
              </w:rPr>
              <w:t>不得分</w:t>
            </w:r>
            <w:r>
              <w:rPr>
                <w:rFonts w:hint="eastAsia" w:ascii="宋体" w:hAnsi="宋体" w:eastAsia="宋体" w:cs="宋体"/>
                <w:sz w:val="21"/>
                <w:szCs w:val="21"/>
                <w:lang w:eastAsia="zh-CN"/>
              </w:rPr>
              <w:t>。</w:t>
            </w:r>
          </w:p>
        </w:tc>
      </w:tr>
      <w:tr w14:paraId="060BA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46" w:hRule="atLeast"/>
          <w:jc w:val="center"/>
        </w:trPr>
        <w:tc>
          <w:tcPr>
            <w:tcW w:w="1170" w:type="dxa"/>
            <w:vMerge w:val="continue"/>
            <w:tcBorders>
              <w:top w:val="single" w:color="auto" w:sz="4" w:space="0"/>
              <w:left w:val="single" w:color="auto" w:sz="4" w:space="0"/>
              <w:bottom w:val="single" w:color="auto" w:sz="4" w:space="0"/>
              <w:right w:val="single" w:color="auto" w:sz="4" w:space="0"/>
            </w:tcBorders>
            <w:vAlign w:val="center"/>
          </w:tcPr>
          <w:p w14:paraId="0D03CB83">
            <w:pPr>
              <w:widowControl/>
              <w:spacing w:line="240" w:lineRule="auto"/>
              <w:ind w:firstLine="0" w:firstLineChars="0"/>
              <w:jc w:val="left"/>
              <w:rPr>
                <w:rFonts w:hint="eastAsia" w:ascii="宋体" w:hAnsi="宋体" w:eastAsia="宋体" w:cs="宋体"/>
                <w:kern w:val="0"/>
                <w:sz w:val="21"/>
                <w:szCs w:val="21"/>
                <w:highlight w:val="none"/>
              </w:rPr>
            </w:pPr>
          </w:p>
        </w:tc>
        <w:tc>
          <w:tcPr>
            <w:tcW w:w="955" w:type="dxa"/>
            <w:tcBorders>
              <w:left w:val="single" w:color="auto" w:sz="4" w:space="0"/>
              <w:bottom w:val="single" w:color="auto" w:sz="4" w:space="0"/>
              <w:right w:val="single" w:color="auto" w:sz="4" w:space="0"/>
            </w:tcBorders>
            <w:shd w:val="clear" w:color="auto" w:fill="auto"/>
            <w:vAlign w:val="center"/>
          </w:tcPr>
          <w:p w14:paraId="37B0AFD7">
            <w:pPr>
              <w:widowControl/>
              <w:spacing w:line="240" w:lineRule="auto"/>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售后服务方案</w:t>
            </w:r>
          </w:p>
        </w:tc>
        <w:tc>
          <w:tcPr>
            <w:tcW w:w="734" w:type="dxa"/>
            <w:tcBorders>
              <w:top w:val="single" w:color="auto" w:sz="4" w:space="0"/>
              <w:left w:val="single" w:color="auto" w:sz="4" w:space="0"/>
              <w:bottom w:val="single" w:color="auto" w:sz="4" w:space="0"/>
              <w:right w:val="single" w:color="auto" w:sz="4" w:space="0"/>
            </w:tcBorders>
            <w:tcMar>
              <w:top w:w="17" w:type="dxa"/>
              <w:left w:w="108" w:type="dxa"/>
              <w:bottom w:w="17" w:type="dxa"/>
              <w:right w:w="108" w:type="dxa"/>
            </w:tcMar>
            <w:vAlign w:val="center"/>
          </w:tcPr>
          <w:p w14:paraId="51225CF4">
            <w:pPr>
              <w:autoSpaceDE w:val="0"/>
              <w:autoSpaceDN w:val="0"/>
              <w:spacing w:line="360" w:lineRule="auto"/>
              <w:ind w:hanging="44" w:firstLineChars="0"/>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10分</w:t>
            </w:r>
          </w:p>
        </w:tc>
        <w:tc>
          <w:tcPr>
            <w:tcW w:w="8077" w:type="dxa"/>
            <w:tcBorders>
              <w:top w:val="single" w:color="auto" w:sz="4" w:space="0"/>
              <w:left w:val="single" w:color="auto" w:sz="4" w:space="0"/>
              <w:bottom w:val="single" w:color="auto" w:sz="4" w:space="0"/>
              <w:right w:val="single" w:color="auto" w:sz="4" w:space="0"/>
            </w:tcBorders>
            <w:shd w:val="clear" w:color="auto" w:fill="auto"/>
            <w:tcMar>
              <w:top w:w="17" w:type="dxa"/>
              <w:left w:w="108" w:type="dxa"/>
              <w:bottom w:w="17" w:type="dxa"/>
              <w:right w:w="108" w:type="dxa"/>
            </w:tcMar>
            <w:vAlign w:val="center"/>
          </w:tcPr>
          <w:p w14:paraId="70967CAE">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根据</w:t>
            </w:r>
            <w:r>
              <w:rPr>
                <w:rFonts w:hint="eastAsia" w:ascii="宋体" w:hAnsi="宋体" w:eastAsia="宋体" w:cs="宋体"/>
                <w:sz w:val="21"/>
                <w:szCs w:val="21"/>
                <w:lang w:val="en-US" w:eastAsia="zh-CN"/>
              </w:rPr>
              <w:t>投标人</w:t>
            </w:r>
            <w:r>
              <w:rPr>
                <w:rFonts w:hint="eastAsia" w:ascii="宋体" w:hAnsi="宋体" w:eastAsia="宋体" w:cs="宋体"/>
                <w:sz w:val="21"/>
                <w:szCs w:val="21"/>
              </w:rPr>
              <w:t>提供的售后服务方案</w:t>
            </w:r>
            <w:r>
              <w:rPr>
                <w:rFonts w:hint="eastAsia" w:ascii="宋体" w:hAnsi="宋体" w:eastAsia="宋体" w:cs="宋体"/>
                <w:sz w:val="21"/>
                <w:szCs w:val="21"/>
                <w:lang w:eastAsia="zh-CN"/>
              </w:rPr>
              <w:t>进行评审，</w:t>
            </w:r>
            <w:r>
              <w:rPr>
                <w:rFonts w:hint="eastAsia" w:ascii="宋体" w:hAnsi="宋体" w:eastAsia="宋体" w:cs="宋体"/>
                <w:sz w:val="21"/>
                <w:szCs w:val="21"/>
                <w:lang w:val="en-US" w:eastAsia="zh-CN"/>
              </w:rPr>
              <w:t>包含但不限于售后服务方案、物品遗失、损坏</w:t>
            </w:r>
            <w:r>
              <w:rPr>
                <w:rFonts w:hint="eastAsia" w:ascii="宋体" w:hAnsi="宋体" w:eastAsia="宋体" w:cs="宋体"/>
                <w:b w:val="0"/>
                <w:bCs w:val="0"/>
                <w:sz w:val="21"/>
                <w:szCs w:val="21"/>
                <w:lang w:val="en-US" w:eastAsia="zh-CN"/>
              </w:rPr>
              <w:t>处理措施等，</w:t>
            </w:r>
            <w:r>
              <w:rPr>
                <w:rFonts w:hint="eastAsia" w:ascii="宋体" w:hAnsi="宋体" w:eastAsia="宋体" w:cs="宋体"/>
                <w:sz w:val="21"/>
                <w:szCs w:val="21"/>
              </w:rPr>
              <w:t>全面合理、可行性高、内容完善且科学合理可行、文字条理清晰的得</w:t>
            </w:r>
            <w:r>
              <w:rPr>
                <w:rFonts w:hint="eastAsia" w:ascii="宋体" w:hAnsi="宋体" w:eastAsia="宋体" w:cs="宋体"/>
                <w:sz w:val="21"/>
                <w:szCs w:val="21"/>
                <w:lang w:val="en-US" w:eastAsia="zh-CN"/>
              </w:rPr>
              <w:t>10</w:t>
            </w:r>
            <w:r>
              <w:rPr>
                <w:rFonts w:hint="eastAsia" w:ascii="宋体" w:hAnsi="宋体" w:eastAsia="宋体" w:cs="宋体"/>
                <w:sz w:val="21"/>
                <w:szCs w:val="21"/>
              </w:rPr>
              <w:t>分；基本全面，可行性较高、</w:t>
            </w:r>
            <w:r>
              <w:rPr>
                <w:rFonts w:hint="eastAsia" w:ascii="宋体" w:hAnsi="宋体" w:eastAsia="宋体" w:cs="宋体"/>
                <w:sz w:val="21"/>
                <w:szCs w:val="21"/>
                <w:lang w:eastAsia="zh-CN"/>
              </w:rPr>
              <w:t>内容</w:t>
            </w:r>
            <w:r>
              <w:rPr>
                <w:rFonts w:hint="eastAsia" w:ascii="宋体" w:hAnsi="宋体" w:eastAsia="宋体" w:cs="宋体"/>
                <w:sz w:val="21"/>
                <w:szCs w:val="21"/>
              </w:rPr>
              <w:t>有待进一步完善，文字条理</w:t>
            </w:r>
            <w:r>
              <w:rPr>
                <w:rFonts w:hint="eastAsia" w:ascii="宋体" w:hAnsi="宋体" w:eastAsia="宋体" w:cs="宋体"/>
                <w:sz w:val="21"/>
                <w:szCs w:val="21"/>
                <w:lang w:eastAsia="zh-CN"/>
              </w:rPr>
              <w:t>基本</w:t>
            </w:r>
            <w:r>
              <w:rPr>
                <w:rFonts w:hint="eastAsia" w:ascii="宋体" w:hAnsi="宋体" w:eastAsia="宋体" w:cs="宋体"/>
                <w:sz w:val="21"/>
                <w:szCs w:val="21"/>
              </w:rPr>
              <w:t>清晰的得</w:t>
            </w:r>
            <w:r>
              <w:rPr>
                <w:rFonts w:hint="eastAsia" w:ascii="宋体" w:hAnsi="宋体" w:eastAsia="宋体" w:cs="宋体"/>
                <w:sz w:val="21"/>
                <w:szCs w:val="21"/>
                <w:lang w:val="en-US" w:eastAsia="zh-CN"/>
              </w:rPr>
              <w:t>6</w:t>
            </w:r>
            <w:r>
              <w:rPr>
                <w:rFonts w:hint="eastAsia" w:ascii="宋体" w:hAnsi="宋体" w:eastAsia="宋体" w:cs="宋体"/>
                <w:sz w:val="21"/>
                <w:szCs w:val="21"/>
              </w:rPr>
              <w:t>分；只基本描述，内容不全，存在缺陷的、可行性低的每项得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未提供</w:t>
            </w:r>
            <w:r>
              <w:rPr>
                <w:rFonts w:hint="eastAsia" w:ascii="宋体" w:hAnsi="宋体" w:eastAsia="宋体" w:cs="宋体"/>
                <w:sz w:val="21"/>
                <w:szCs w:val="21"/>
                <w:lang w:eastAsia="zh-CN"/>
              </w:rPr>
              <w:t>的</w:t>
            </w:r>
            <w:r>
              <w:rPr>
                <w:rFonts w:hint="eastAsia" w:ascii="宋体" w:hAnsi="宋体" w:eastAsia="宋体" w:cs="宋体"/>
                <w:sz w:val="21"/>
                <w:szCs w:val="21"/>
              </w:rPr>
              <w:t>不得分。</w:t>
            </w:r>
          </w:p>
        </w:tc>
      </w:tr>
      <w:tr w14:paraId="688A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07" w:hRule="atLeast"/>
          <w:jc w:val="center"/>
        </w:trPr>
        <w:tc>
          <w:tcPr>
            <w:tcW w:w="1170" w:type="dxa"/>
            <w:tcBorders>
              <w:top w:val="single" w:color="auto" w:sz="4" w:space="0"/>
              <w:left w:val="single" w:color="auto" w:sz="4" w:space="0"/>
              <w:bottom w:val="single" w:color="auto" w:sz="4" w:space="0"/>
              <w:right w:val="single" w:color="auto" w:sz="4" w:space="0"/>
            </w:tcBorders>
            <w:tcMar>
              <w:top w:w="17" w:type="dxa"/>
              <w:left w:w="108" w:type="dxa"/>
              <w:bottom w:w="17" w:type="dxa"/>
              <w:right w:w="108" w:type="dxa"/>
            </w:tcMar>
            <w:vAlign w:val="center"/>
          </w:tcPr>
          <w:p w14:paraId="01EDC3B9">
            <w:pPr>
              <w:adjustRightInd w:val="0"/>
              <w:snapToGrid w:val="0"/>
              <w:spacing w:line="240" w:lineRule="auto"/>
              <w:ind w:firstLine="0" w:firstLineChars="0"/>
              <w:jc w:val="center"/>
              <w:rPr>
                <w:rFonts w:hint="eastAsia" w:ascii="宋体" w:hAnsi="宋体" w:eastAsia="宋体" w:cs="宋体"/>
                <w:spacing w:val="-6"/>
                <w:sz w:val="21"/>
                <w:szCs w:val="21"/>
                <w:highlight w:val="none"/>
              </w:rPr>
            </w:pPr>
            <w:r>
              <w:rPr>
                <w:rFonts w:hint="eastAsia" w:ascii="宋体" w:hAnsi="宋体" w:eastAsia="宋体" w:cs="宋体"/>
                <w:kern w:val="0"/>
                <w:sz w:val="21"/>
                <w:szCs w:val="21"/>
                <w:highlight w:val="none"/>
              </w:rPr>
              <w:t>合计</w:t>
            </w:r>
          </w:p>
        </w:tc>
        <w:tc>
          <w:tcPr>
            <w:tcW w:w="955" w:type="dxa"/>
            <w:tcBorders>
              <w:top w:val="single" w:color="auto" w:sz="4" w:space="0"/>
              <w:left w:val="single" w:color="auto" w:sz="4" w:space="0"/>
              <w:bottom w:val="single" w:color="auto" w:sz="4" w:space="0"/>
              <w:right w:val="single" w:color="auto" w:sz="4" w:space="0"/>
            </w:tcBorders>
            <w:tcMar>
              <w:top w:w="17" w:type="dxa"/>
              <w:left w:w="108" w:type="dxa"/>
              <w:bottom w:w="17" w:type="dxa"/>
              <w:right w:w="108" w:type="dxa"/>
            </w:tcMar>
            <w:vAlign w:val="center"/>
          </w:tcPr>
          <w:p w14:paraId="0C7523A7">
            <w:pPr>
              <w:adjustRightInd w:val="0"/>
              <w:snapToGrid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w:t>
            </w:r>
          </w:p>
        </w:tc>
        <w:tc>
          <w:tcPr>
            <w:tcW w:w="734" w:type="dxa"/>
            <w:tcBorders>
              <w:top w:val="single" w:color="auto" w:sz="4" w:space="0"/>
              <w:left w:val="single" w:color="auto" w:sz="4" w:space="0"/>
              <w:bottom w:val="single" w:color="auto" w:sz="4" w:space="0"/>
              <w:right w:val="single" w:color="auto" w:sz="4" w:space="0"/>
            </w:tcBorders>
            <w:tcMar>
              <w:top w:w="17" w:type="dxa"/>
              <w:left w:w="108" w:type="dxa"/>
              <w:bottom w:w="17" w:type="dxa"/>
              <w:right w:w="108" w:type="dxa"/>
            </w:tcMar>
            <w:vAlign w:val="center"/>
          </w:tcPr>
          <w:p w14:paraId="6C730935">
            <w:pPr>
              <w:adjustRightInd w:val="0"/>
              <w:snapToGrid w:val="0"/>
              <w:spacing w:line="240" w:lineRule="auto"/>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w:t>
            </w:r>
          </w:p>
        </w:tc>
        <w:tc>
          <w:tcPr>
            <w:tcW w:w="8077" w:type="dxa"/>
            <w:tcBorders>
              <w:top w:val="single" w:color="auto" w:sz="4" w:space="0"/>
              <w:left w:val="single" w:color="auto" w:sz="4" w:space="0"/>
              <w:bottom w:val="single" w:color="auto" w:sz="4" w:space="0"/>
              <w:right w:val="single" w:color="auto" w:sz="4" w:space="0"/>
            </w:tcBorders>
            <w:tcMar>
              <w:top w:w="17" w:type="dxa"/>
              <w:left w:w="108" w:type="dxa"/>
              <w:bottom w:w="17" w:type="dxa"/>
              <w:right w:w="108" w:type="dxa"/>
            </w:tcMar>
            <w:vAlign w:val="center"/>
          </w:tcPr>
          <w:p w14:paraId="2BC0710D">
            <w:pPr>
              <w:adjustRightInd w:val="0"/>
              <w:snapToGrid w:val="0"/>
              <w:spacing w:line="240" w:lineRule="auto"/>
              <w:ind w:firstLine="0" w:firstLineChars="0"/>
              <w:rPr>
                <w:rFonts w:hint="eastAsia" w:ascii="宋体" w:hAnsi="宋体" w:eastAsia="宋体" w:cs="宋体"/>
                <w:spacing w:val="-6"/>
                <w:sz w:val="21"/>
                <w:szCs w:val="21"/>
                <w:highlight w:val="none"/>
              </w:rPr>
            </w:pPr>
          </w:p>
        </w:tc>
      </w:tr>
      <w:tr w14:paraId="3C955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07" w:hRule="atLeast"/>
          <w:jc w:val="center"/>
        </w:trPr>
        <w:tc>
          <w:tcPr>
            <w:tcW w:w="10936" w:type="dxa"/>
            <w:gridSpan w:val="4"/>
            <w:tcBorders>
              <w:top w:val="single" w:color="auto" w:sz="4" w:space="0"/>
              <w:left w:val="single" w:color="auto" w:sz="4" w:space="0"/>
              <w:bottom w:val="single" w:color="auto" w:sz="4" w:space="0"/>
              <w:right w:val="single" w:color="auto" w:sz="4" w:space="0"/>
            </w:tcBorders>
            <w:tcMar>
              <w:top w:w="17" w:type="dxa"/>
              <w:left w:w="108" w:type="dxa"/>
              <w:bottom w:w="17" w:type="dxa"/>
              <w:right w:w="108" w:type="dxa"/>
            </w:tcMar>
            <w:vAlign w:val="center"/>
          </w:tcPr>
          <w:p w14:paraId="37244A25">
            <w:pPr>
              <w:jc w:val="left"/>
              <w:rPr>
                <w:rStyle w:val="15"/>
                <w:rFonts w:hint="eastAsia" w:ascii="宋体" w:hAnsi="宋体" w:eastAsia="宋体"/>
                <w:sz w:val="21"/>
                <w:szCs w:val="21"/>
                <w:lang w:eastAsia="zh-CN"/>
              </w:rPr>
            </w:pPr>
            <w:r>
              <w:rPr>
                <w:rStyle w:val="15"/>
                <w:rFonts w:ascii="宋体" w:hAnsi="宋体"/>
                <w:sz w:val="21"/>
                <w:szCs w:val="21"/>
              </w:rPr>
              <w:t>上述</w:t>
            </w:r>
            <w:r>
              <w:rPr>
                <w:rStyle w:val="15"/>
                <w:rFonts w:hint="eastAsia" w:ascii="宋体" w:hAnsi="宋体"/>
                <w:sz w:val="21"/>
                <w:szCs w:val="21"/>
                <w:lang w:eastAsia="zh-CN"/>
              </w:rPr>
              <w:t>描述</w:t>
            </w:r>
            <w:r>
              <w:rPr>
                <w:rStyle w:val="15"/>
                <w:rFonts w:ascii="宋体" w:hAnsi="宋体"/>
                <w:sz w:val="21"/>
                <w:szCs w:val="21"/>
              </w:rPr>
              <w:t>中</w:t>
            </w:r>
            <w:r>
              <w:rPr>
                <w:rStyle w:val="15"/>
                <w:rFonts w:hint="eastAsia" w:ascii="宋体" w:hAnsi="宋体"/>
                <w:sz w:val="21"/>
                <w:szCs w:val="21"/>
                <w:lang w:eastAsia="zh-CN"/>
              </w:rPr>
              <w:t>：</w:t>
            </w:r>
          </w:p>
          <w:p w14:paraId="7D41591E">
            <w:pPr>
              <w:jc w:val="left"/>
              <w:rPr>
                <w:rStyle w:val="15"/>
                <w:rFonts w:ascii="宋体" w:hAnsi="宋体"/>
                <w:sz w:val="21"/>
                <w:szCs w:val="21"/>
              </w:rPr>
            </w:pPr>
            <w:r>
              <w:rPr>
                <w:rFonts w:hint="eastAsia" w:ascii="宋体" w:hAnsi="宋体" w:eastAsia="宋体" w:cs="宋体"/>
                <w:sz w:val="21"/>
                <w:szCs w:val="21"/>
                <w:highlight w:val="none"/>
              </w:rPr>
              <w:t>重点突出、描述清晰完整、</w:t>
            </w:r>
            <w:r>
              <w:rPr>
                <w:rFonts w:hint="eastAsia" w:ascii="宋体" w:hAnsi="宋体" w:eastAsia="宋体" w:cs="宋体"/>
                <w:sz w:val="21"/>
                <w:szCs w:val="21"/>
              </w:rPr>
              <w:t>合理、可行性高</w:t>
            </w:r>
            <w:r>
              <w:rPr>
                <w:rFonts w:hint="eastAsia" w:ascii="宋体" w:hAnsi="宋体" w:eastAsia="宋体" w:cs="宋体"/>
                <w:sz w:val="21"/>
                <w:szCs w:val="21"/>
                <w:lang w:eastAsia="zh-CN"/>
              </w:rPr>
              <w:t>、</w:t>
            </w:r>
            <w:r>
              <w:rPr>
                <w:rFonts w:hint="eastAsia" w:ascii="宋体" w:hAnsi="宋体" w:eastAsia="宋体" w:cs="宋体"/>
                <w:sz w:val="21"/>
                <w:szCs w:val="21"/>
                <w:highlight w:val="none"/>
              </w:rPr>
              <w:t>充分结合实际且针对性强</w:t>
            </w:r>
            <w:r>
              <w:rPr>
                <w:rStyle w:val="15"/>
                <w:rFonts w:ascii="宋体" w:hAnsi="宋体"/>
                <w:sz w:val="21"/>
                <w:szCs w:val="21"/>
              </w:rPr>
              <w:t>指</w:t>
            </w:r>
          </w:p>
          <w:p w14:paraId="5EC7A359">
            <w:pPr>
              <w:jc w:val="left"/>
              <w:rPr>
                <w:rStyle w:val="15"/>
                <w:rFonts w:hint="eastAsia" w:ascii="宋体" w:hAnsi="宋体"/>
                <w:sz w:val="21"/>
                <w:szCs w:val="21"/>
              </w:rPr>
            </w:pPr>
            <w:r>
              <w:rPr>
                <w:rStyle w:val="15"/>
                <w:rFonts w:hint="eastAsia" w:ascii="宋体" w:hAnsi="宋体"/>
                <w:sz w:val="21"/>
                <w:szCs w:val="21"/>
              </w:rPr>
              <w:t xml:space="preserve">（1）方案完全响应采购需求要求； </w:t>
            </w:r>
          </w:p>
          <w:p w14:paraId="6D885ED3">
            <w:pPr>
              <w:jc w:val="left"/>
              <w:rPr>
                <w:rStyle w:val="15"/>
                <w:rFonts w:hint="eastAsia" w:ascii="宋体" w:hAnsi="宋体"/>
                <w:sz w:val="21"/>
                <w:szCs w:val="21"/>
              </w:rPr>
            </w:pPr>
            <w:r>
              <w:rPr>
                <w:rStyle w:val="15"/>
                <w:rFonts w:hint="eastAsia" w:ascii="宋体" w:hAnsi="宋体"/>
                <w:sz w:val="21"/>
                <w:szCs w:val="21"/>
              </w:rPr>
              <w:t xml:space="preserve">（2）对达到项目目标提出了切实可行的措施，并对达不到目标有具体经济处罚承诺； </w:t>
            </w:r>
          </w:p>
          <w:p w14:paraId="5271542D">
            <w:pPr>
              <w:jc w:val="left"/>
              <w:rPr>
                <w:rStyle w:val="15"/>
                <w:rFonts w:hint="eastAsia" w:ascii="宋体" w:hAnsi="宋体"/>
                <w:sz w:val="21"/>
                <w:szCs w:val="21"/>
              </w:rPr>
            </w:pPr>
            <w:r>
              <w:rPr>
                <w:rStyle w:val="15"/>
                <w:rFonts w:hint="eastAsia" w:ascii="宋体" w:hAnsi="宋体"/>
                <w:sz w:val="21"/>
                <w:szCs w:val="21"/>
              </w:rPr>
              <w:t>（3）对项目内容作了有针对性的全面、具体分析；</w:t>
            </w:r>
          </w:p>
          <w:p w14:paraId="09EF05A1">
            <w:pPr>
              <w:jc w:val="left"/>
              <w:rPr>
                <w:rStyle w:val="15"/>
                <w:rFonts w:hint="eastAsia" w:ascii="宋体" w:hAnsi="宋体"/>
                <w:sz w:val="21"/>
                <w:szCs w:val="21"/>
              </w:rPr>
            </w:pPr>
            <w:r>
              <w:rPr>
                <w:rStyle w:val="15"/>
                <w:rFonts w:hint="eastAsia" w:ascii="宋体" w:hAnsi="宋体"/>
                <w:sz w:val="21"/>
                <w:szCs w:val="21"/>
              </w:rPr>
              <w:t>（4）提供的响应方案基于服务需求的全口径，提出了具有可行性的现状情况预判；</w:t>
            </w:r>
          </w:p>
          <w:p w14:paraId="202DC780">
            <w:pPr>
              <w:jc w:val="left"/>
              <w:rPr>
                <w:rStyle w:val="15"/>
                <w:rFonts w:hint="eastAsia" w:ascii="宋体" w:hAnsi="宋体"/>
                <w:sz w:val="21"/>
                <w:szCs w:val="21"/>
              </w:rPr>
            </w:pPr>
            <w:r>
              <w:rPr>
                <w:rStyle w:val="15"/>
                <w:rFonts w:hint="eastAsia" w:ascii="宋体" w:hAnsi="宋体"/>
                <w:sz w:val="21"/>
                <w:szCs w:val="21"/>
              </w:rPr>
              <w:t>（5）准确把握项目重难点，分析各类情况可能发生的不可预见性，并尽可能列明多种详细预案；</w:t>
            </w:r>
          </w:p>
          <w:p w14:paraId="79029DB2">
            <w:pPr>
              <w:jc w:val="left"/>
              <w:rPr>
                <w:rStyle w:val="15"/>
                <w:rFonts w:hint="eastAsia" w:ascii="宋体" w:hAnsi="宋体"/>
                <w:sz w:val="21"/>
                <w:szCs w:val="21"/>
              </w:rPr>
            </w:pPr>
            <w:r>
              <w:rPr>
                <w:rStyle w:val="15"/>
                <w:rFonts w:hint="eastAsia" w:ascii="宋体" w:hAnsi="宋体"/>
                <w:sz w:val="21"/>
                <w:szCs w:val="21"/>
              </w:rPr>
              <w:t>（6）针对各类服务要求的不同特点及性能提供个性化的服务解决方案，也可以举例论证；</w:t>
            </w:r>
          </w:p>
          <w:p w14:paraId="33B5CC28">
            <w:pPr>
              <w:jc w:val="left"/>
              <w:rPr>
                <w:rStyle w:val="15"/>
                <w:rFonts w:ascii="宋体" w:hAnsi="宋体"/>
                <w:sz w:val="21"/>
                <w:szCs w:val="21"/>
              </w:rPr>
            </w:pPr>
            <w:r>
              <w:rPr>
                <w:rStyle w:val="15"/>
                <w:rFonts w:hint="eastAsia" w:ascii="宋体" w:hAnsi="宋体"/>
                <w:sz w:val="21"/>
                <w:szCs w:val="21"/>
              </w:rPr>
              <w:t>（7）对于资料、数据等响应方案的支撑材料提供细致，具体，具有一定的论证支撑性及可追溯性。</w:t>
            </w:r>
          </w:p>
          <w:p w14:paraId="3C070EE7">
            <w:pPr>
              <w:jc w:val="left"/>
              <w:rPr>
                <w:rStyle w:val="15"/>
                <w:rFonts w:hint="eastAsia" w:ascii="宋体" w:hAnsi="宋体" w:eastAsia="宋体"/>
                <w:sz w:val="21"/>
                <w:szCs w:val="21"/>
                <w:lang w:eastAsia="zh-CN"/>
              </w:rPr>
            </w:pPr>
            <w:r>
              <w:rPr>
                <w:rFonts w:hint="eastAsia" w:ascii="宋体" w:hAnsi="宋体" w:eastAsia="宋体" w:cs="宋体"/>
                <w:sz w:val="21"/>
                <w:szCs w:val="21"/>
                <w:highlight w:val="none"/>
              </w:rPr>
              <w:t>重点不突出、描述较完整、结合实际且针对性较强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基本全面、可行性较高</w:t>
            </w:r>
            <w:r>
              <w:rPr>
                <w:rStyle w:val="15"/>
                <w:rFonts w:hint="eastAsia" w:ascii="宋体" w:hAnsi="宋体"/>
                <w:sz w:val="21"/>
                <w:szCs w:val="21"/>
                <w:lang w:eastAsia="zh-CN"/>
              </w:rPr>
              <w:t>指</w:t>
            </w:r>
          </w:p>
          <w:p w14:paraId="79C7F623">
            <w:pPr>
              <w:jc w:val="left"/>
              <w:rPr>
                <w:rStyle w:val="15"/>
                <w:rFonts w:hint="eastAsia" w:ascii="宋体" w:hAnsi="宋体"/>
                <w:sz w:val="21"/>
                <w:szCs w:val="21"/>
              </w:rPr>
            </w:pPr>
            <w:r>
              <w:rPr>
                <w:rStyle w:val="15"/>
                <w:rFonts w:hint="eastAsia" w:ascii="宋体" w:hAnsi="宋体"/>
                <w:sz w:val="21"/>
                <w:szCs w:val="21"/>
              </w:rPr>
              <w:t xml:space="preserve">（1）方案响应采购需求要求有微小偏差； </w:t>
            </w:r>
          </w:p>
          <w:p w14:paraId="17489E98">
            <w:pPr>
              <w:jc w:val="left"/>
              <w:rPr>
                <w:rStyle w:val="15"/>
                <w:rFonts w:hint="eastAsia" w:ascii="宋体" w:hAnsi="宋体"/>
                <w:sz w:val="21"/>
                <w:szCs w:val="21"/>
              </w:rPr>
            </w:pPr>
            <w:r>
              <w:rPr>
                <w:rStyle w:val="15"/>
                <w:rFonts w:hint="eastAsia" w:ascii="宋体" w:hAnsi="宋体"/>
                <w:sz w:val="21"/>
                <w:szCs w:val="21"/>
              </w:rPr>
              <w:t xml:space="preserve">（2）对达到项目目标提出的措施有欠缺或表述不够清晰， 并对达不到目标欠缺具体的经济处罚承诺； </w:t>
            </w:r>
          </w:p>
          <w:p w14:paraId="1F50DC40">
            <w:pPr>
              <w:jc w:val="left"/>
              <w:rPr>
                <w:rStyle w:val="15"/>
                <w:rFonts w:hint="eastAsia" w:ascii="宋体" w:hAnsi="宋体"/>
                <w:sz w:val="21"/>
                <w:szCs w:val="21"/>
              </w:rPr>
            </w:pPr>
            <w:r>
              <w:rPr>
                <w:rStyle w:val="15"/>
                <w:rFonts w:hint="eastAsia" w:ascii="宋体" w:hAnsi="宋体"/>
                <w:sz w:val="21"/>
                <w:szCs w:val="21"/>
              </w:rPr>
              <w:t xml:space="preserve">（3）对项目内容分析有一定的层次性，体现项目要求。 </w:t>
            </w:r>
          </w:p>
          <w:p w14:paraId="740D4F78">
            <w:pPr>
              <w:jc w:val="left"/>
              <w:rPr>
                <w:rStyle w:val="15"/>
                <w:rFonts w:hint="eastAsia" w:ascii="宋体" w:hAnsi="宋体"/>
                <w:sz w:val="21"/>
                <w:szCs w:val="21"/>
              </w:rPr>
            </w:pPr>
            <w:r>
              <w:rPr>
                <w:rStyle w:val="15"/>
                <w:rFonts w:hint="eastAsia" w:ascii="宋体" w:hAnsi="宋体"/>
                <w:sz w:val="21"/>
                <w:szCs w:val="21"/>
              </w:rPr>
              <w:t>（4）响应方案不完整，和采购需求存在明显的响应缺项；</w:t>
            </w:r>
          </w:p>
          <w:p w14:paraId="34DEC637">
            <w:pPr>
              <w:jc w:val="left"/>
              <w:rPr>
                <w:rStyle w:val="15"/>
                <w:rFonts w:hint="eastAsia" w:ascii="宋体" w:hAnsi="宋体"/>
                <w:sz w:val="21"/>
                <w:szCs w:val="21"/>
              </w:rPr>
            </w:pPr>
            <w:r>
              <w:rPr>
                <w:rStyle w:val="15"/>
                <w:rFonts w:hint="eastAsia" w:ascii="宋体" w:hAnsi="宋体"/>
                <w:sz w:val="21"/>
                <w:szCs w:val="21"/>
              </w:rPr>
              <w:t>（5）只对方案作出标题式的简单论证，并未展开分析或列明可行的具体解决方案；</w:t>
            </w:r>
          </w:p>
          <w:p w14:paraId="343C4B49">
            <w:pPr>
              <w:jc w:val="left"/>
              <w:rPr>
                <w:rStyle w:val="15"/>
                <w:rFonts w:hint="eastAsia" w:ascii="宋体" w:hAnsi="宋体"/>
                <w:sz w:val="21"/>
                <w:szCs w:val="21"/>
              </w:rPr>
            </w:pPr>
            <w:r>
              <w:rPr>
                <w:rStyle w:val="15"/>
                <w:rFonts w:hint="eastAsia" w:ascii="宋体" w:hAnsi="宋体"/>
                <w:sz w:val="21"/>
                <w:szCs w:val="21"/>
              </w:rPr>
              <w:t>（6）对服务的响应进行泛化一般描述，缺少针对性；</w:t>
            </w:r>
          </w:p>
          <w:p w14:paraId="36392933">
            <w:pPr>
              <w:jc w:val="left"/>
            </w:pPr>
            <w:r>
              <w:rPr>
                <w:rStyle w:val="15"/>
                <w:rFonts w:hint="eastAsia" w:ascii="宋体" w:hAnsi="宋体"/>
                <w:sz w:val="21"/>
                <w:szCs w:val="21"/>
              </w:rPr>
              <w:t>（7）部分资料、数据等响应方案的支撑材料提供过于简单或未提供，难于采信。</w:t>
            </w:r>
          </w:p>
          <w:p w14:paraId="25A4D32A">
            <w:pPr>
              <w:jc w:val="left"/>
              <w:rPr>
                <w:rStyle w:val="15"/>
                <w:rFonts w:ascii="宋体" w:hAnsi="宋体"/>
                <w:sz w:val="21"/>
                <w:szCs w:val="21"/>
              </w:rPr>
            </w:pPr>
            <w:r>
              <w:rPr>
                <w:rFonts w:hint="eastAsia" w:ascii="宋体" w:hAnsi="宋体" w:eastAsia="宋体" w:cs="宋体"/>
                <w:sz w:val="21"/>
                <w:szCs w:val="21"/>
                <w:highlight w:val="none"/>
              </w:rPr>
              <w:t>编制简单、只作简略说明没有突出重点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内容不全存在缺陷</w:t>
            </w:r>
            <w:r>
              <w:rPr>
                <w:rStyle w:val="15"/>
                <w:rFonts w:ascii="宋体" w:hAnsi="宋体"/>
                <w:sz w:val="21"/>
                <w:szCs w:val="21"/>
              </w:rPr>
              <w:t>指：</w:t>
            </w:r>
          </w:p>
          <w:p w14:paraId="163F3F41">
            <w:pPr>
              <w:jc w:val="left"/>
              <w:rPr>
                <w:rStyle w:val="15"/>
                <w:rFonts w:hint="eastAsia" w:ascii="宋体" w:hAnsi="宋体"/>
                <w:sz w:val="21"/>
                <w:szCs w:val="21"/>
              </w:rPr>
            </w:pPr>
            <w:r>
              <w:rPr>
                <w:rStyle w:val="15"/>
                <w:rFonts w:hint="eastAsia" w:ascii="宋体" w:hAnsi="宋体"/>
                <w:sz w:val="21"/>
                <w:szCs w:val="21"/>
              </w:rPr>
              <w:t xml:space="preserve">（1）方案建设响应采购需求要求但有明显欠缺； </w:t>
            </w:r>
          </w:p>
          <w:p w14:paraId="4CD87E8A">
            <w:pPr>
              <w:jc w:val="left"/>
              <w:rPr>
                <w:rStyle w:val="15"/>
                <w:rFonts w:hint="eastAsia" w:ascii="宋体" w:hAnsi="宋体"/>
                <w:sz w:val="21"/>
                <w:szCs w:val="21"/>
              </w:rPr>
            </w:pPr>
            <w:r>
              <w:rPr>
                <w:rStyle w:val="15"/>
                <w:rFonts w:hint="eastAsia" w:ascii="宋体" w:hAnsi="宋体"/>
                <w:sz w:val="21"/>
                <w:szCs w:val="21"/>
              </w:rPr>
              <w:t xml:space="preserve">（2）对达到项目目标提出的措施有缺陷或表述模糊，并对 达不到目标没有经济处罚承诺； </w:t>
            </w:r>
          </w:p>
          <w:p w14:paraId="74CB1B1B">
            <w:pPr>
              <w:jc w:val="left"/>
              <w:rPr>
                <w:rStyle w:val="15"/>
                <w:rFonts w:hint="eastAsia" w:ascii="宋体" w:hAnsi="宋体"/>
                <w:sz w:val="21"/>
                <w:szCs w:val="21"/>
              </w:rPr>
            </w:pPr>
            <w:r>
              <w:rPr>
                <w:rStyle w:val="15"/>
                <w:rFonts w:hint="eastAsia" w:ascii="宋体" w:hAnsi="宋体"/>
                <w:sz w:val="21"/>
                <w:szCs w:val="21"/>
              </w:rPr>
              <w:t>（3）对项目内容分析没有层次性，体现项目要求，但有明显缺陷。</w:t>
            </w:r>
          </w:p>
          <w:p w14:paraId="7111AE39">
            <w:pPr>
              <w:jc w:val="left"/>
              <w:rPr>
                <w:rStyle w:val="15"/>
                <w:rFonts w:hint="eastAsia" w:ascii="宋体" w:hAnsi="宋体"/>
                <w:sz w:val="21"/>
                <w:szCs w:val="21"/>
              </w:rPr>
            </w:pPr>
            <w:r>
              <w:rPr>
                <w:rStyle w:val="15"/>
                <w:rFonts w:hint="eastAsia" w:ascii="宋体" w:hAnsi="宋体"/>
                <w:sz w:val="21"/>
                <w:szCs w:val="21"/>
              </w:rPr>
              <w:t>（4）响应方案不完整，和采购需求存在明显的响应缺项；</w:t>
            </w:r>
          </w:p>
          <w:p w14:paraId="1EE3E2BC">
            <w:pPr>
              <w:jc w:val="left"/>
              <w:rPr>
                <w:rStyle w:val="15"/>
                <w:rFonts w:hint="eastAsia" w:ascii="宋体" w:hAnsi="宋体"/>
                <w:sz w:val="21"/>
                <w:szCs w:val="21"/>
              </w:rPr>
            </w:pPr>
            <w:r>
              <w:rPr>
                <w:rStyle w:val="15"/>
                <w:rFonts w:hint="eastAsia" w:ascii="宋体" w:hAnsi="宋体"/>
                <w:sz w:val="21"/>
                <w:szCs w:val="21"/>
              </w:rPr>
              <w:t>（5）只对方案作出标题式的简单论证，并未展开分析或列明可行的具体解决方案；</w:t>
            </w:r>
          </w:p>
          <w:p w14:paraId="605B15B3">
            <w:pPr>
              <w:jc w:val="left"/>
              <w:rPr>
                <w:rStyle w:val="15"/>
                <w:rFonts w:hint="eastAsia" w:ascii="宋体" w:hAnsi="宋体"/>
                <w:sz w:val="21"/>
                <w:szCs w:val="21"/>
              </w:rPr>
            </w:pPr>
            <w:r>
              <w:rPr>
                <w:rStyle w:val="15"/>
                <w:rFonts w:hint="eastAsia" w:ascii="宋体" w:hAnsi="宋体"/>
                <w:sz w:val="21"/>
                <w:szCs w:val="21"/>
              </w:rPr>
              <w:t>（6）对服务的响应进行泛化一般描述，缺少针对性；</w:t>
            </w:r>
          </w:p>
          <w:p w14:paraId="3CF88325">
            <w:pPr>
              <w:spacing w:line="240" w:lineRule="auto"/>
              <w:jc w:val="left"/>
              <w:rPr>
                <w:rFonts w:hint="eastAsia" w:ascii="宋体" w:hAnsi="宋体" w:eastAsia="宋体" w:cs="宋体"/>
                <w:sz w:val="21"/>
                <w:szCs w:val="21"/>
                <w:highlight w:val="none"/>
              </w:rPr>
            </w:pPr>
            <w:r>
              <w:rPr>
                <w:rStyle w:val="15"/>
                <w:rFonts w:hint="eastAsia" w:ascii="宋体" w:hAnsi="宋体"/>
                <w:sz w:val="21"/>
                <w:szCs w:val="21"/>
                <w:lang w:eastAsia="zh-CN"/>
              </w:rPr>
              <w:t>（</w:t>
            </w:r>
            <w:r>
              <w:rPr>
                <w:rStyle w:val="15"/>
                <w:rFonts w:hint="eastAsia" w:ascii="宋体" w:hAnsi="宋体"/>
                <w:sz w:val="21"/>
                <w:szCs w:val="21"/>
                <w:lang w:val="en-US" w:eastAsia="zh-CN"/>
              </w:rPr>
              <w:t>7</w:t>
            </w:r>
            <w:r>
              <w:rPr>
                <w:rStyle w:val="15"/>
                <w:rFonts w:hint="eastAsia" w:ascii="宋体" w:hAnsi="宋体"/>
                <w:sz w:val="21"/>
                <w:szCs w:val="21"/>
                <w:lang w:eastAsia="zh-CN"/>
              </w:rPr>
              <w:t>）</w:t>
            </w:r>
            <w:r>
              <w:rPr>
                <w:rStyle w:val="15"/>
                <w:rFonts w:hint="eastAsia" w:ascii="宋体" w:hAnsi="宋体"/>
                <w:sz w:val="21"/>
                <w:szCs w:val="21"/>
              </w:rPr>
              <w:t>部分资料、数据等响应方案的支撑材料提供过于简单或未提供，难于采信。</w:t>
            </w:r>
            <w:r>
              <w:rPr>
                <w:rFonts w:hint="eastAsia" w:ascii="宋体" w:hAnsi="宋体" w:eastAsia="宋体" w:cs="宋体"/>
                <w:sz w:val="21"/>
                <w:szCs w:val="21"/>
                <w:highlight w:val="none"/>
              </w:rPr>
              <w:t>（4）响应方案不完整，和采购需求存在明显的</w:t>
            </w:r>
            <w:r>
              <w:rPr>
                <w:rFonts w:hint="eastAsia" w:ascii="宋体" w:hAnsi="宋体" w:eastAsia="宋体" w:cs="宋体"/>
                <w:sz w:val="21"/>
                <w:szCs w:val="21"/>
                <w:highlight w:val="none"/>
                <w:lang w:val="en-US" w:eastAsia="zh-CN"/>
              </w:rPr>
              <w:t>缺失</w:t>
            </w:r>
            <w:r>
              <w:rPr>
                <w:rFonts w:hint="eastAsia" w:ascii="宋体" w:hAnsi="宋体" w:eastAsia="宋体" w:cs="宋体"/>
                <w:sz w:val="21"/>
                <w:szCs w:val="21"/>
                <w:highlight w:val="none"/>
              </w:rPr>
              <w:t>；</w:t>
            </w:r>
          </w:p>
          <w:p w14:paraId="75F71667">
            <w:p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（5）只对方案作出标题式的简单论证，并未展开分析或列明可行的具体解决方案；</w:t>
            </w:r>
          </w:p>
          <w:p w14:paraId="7258DF1D">
            <w:p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（6）对服务的响应进行泛化一般描述，缺少针对性；</w:t>
            </w:r>
          </w:p>
          <w:p w14:paraId="0756F7E0">
            <w:pPr>
              <w:adjustRightInd w:val="0"/>
              <w:snapToGrid w:val="0"/>
              <w:spacing w:line="240" w:lineRule="auto"/>
              <w:ind w:firstLine="0" w:firstLineChars="0"/>
              <w:rPr>
                <w:rFonts w:hint="eastAsia" w:ascii="宋体" w:hAnsi="宋体" w:eastAsia="宋体" w:cs="宋体"/>
                <w:spacing w:val="-6"/>
                <w:sz w:val="21"/>
                <w:szCs w:val="21"/>
                <w:highlight w:val="none"/>
              </w:rPr>
            </w:pPr>
            <w:r>
              <w:rPr>
                <w:rFonts w:hint="eastAsia" w:ascii="宋体" w:hAnsi="宋体" w:eastAsia="宋体" w:cs="宋体"/>
                <w:sz w:val="21"/>
                <w:szCs w:val="21"/>
                <w:highlight w:val="none"/>
              </w:rPr>
              <w:t>（7）部分资料、数据等响应方案的支撑材料提供过于简单或未提供，难于采信。</w:t>
            </w:r>
          </w:p>
        </w:tc>
      </w:tr>
    </w:tbl>
    <w:p w14:paraId="312E5ACF">
      <w:pPr>
        <w:pStyle w:val="2"/>
        <w:rPr>
          <w:rFonts w:hint="default"/>
          <w:highlight w:val="none"/>
          <w:lang w:val="en-US" w:eastAsia="zh-CN"/>
        </w:rPr>
      </w:pPr>
    </w:p>
    <w:sectPr>
      <w:footerReference r:id="rId10" w:type="default"/>
      <w:pgSz w:w="11906" w:h="16838"/>
      <w:pgMar w:top="1417" w:right="1800" w:bottom="141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E0B0D">
    <w:pPr>
      <w:spacing w:line="360" w:lineRule="auto"/>
      <w:rPr>
        <w:rFonts w:ascii="仿宋_GB2312" w:hAnsi="仿宋" w:eastAsia="仿宋_GB2312" w:cs="仿宋"/>
        <w:kern w:val="2"/>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BC2FB">
    <w:pPr>
      <w:pStyle w:val="6"/>
      <w:framePr w:wrap="around" w:vAnchor="text" w:hAnchor="margin" w:xAlign="center" w:y="1"/>
      <w:rPr>
        <w:rStyle w:val="13"/>
      </w:rPr>
    </w:pPr>
    <w:r>
      <w:fldChar w:fldCharType="begin"/>
    </w:r>
    <w:r>
      <w:rPr>
        <w:rStyle w:val="13"/>
      </w:rPr>
      <w:instrText xml:space="preserve">PAGE  </w:instrText>
    </w:r>
    <w:r>
      <w:fldChar w:fldCharType="separate"/>
    </w:r>
    <w:r>
      <w:fldChar w:fldCharType="end"/>
    </w:r>
  </w:p>
  <w:p w14:paraId="3BC30FAB">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2D651">
    <w:pPr>
      <w:pBdr>
        <w:top w:val="single" w:color="808080" w:sz="4" w:space="1"/>
      </w:pBdr>
      <w:adjustRightInd w:val="0"/>
      <w:snapToGrid w:val="0"/>
      <w:rPr>
        <w:rFonts w:hint="default" w:eastAsia="宋体"/>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F90DD">
    <w:pPr>
      <w:pBdr>
        <w:top w:val="single" w:color="808080" w:sz="4" w:space="1"/>
      </w:pBdr>
      <w:adjustRightInd w:val="0"/>
      <w:snapToGrid w:val="0"/>
      <w:rPr>
        <w:rFonts w:ascii="宋体" w:hAnsi="宋体" w:eastAsia="宋体" w:cs="Times New Roman"/>
        <w:kern w:val="2"/>
        <w:sz w:val="21"/>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18EF7">
    <w:pPr>
      <w:pBdr>
        <w:top w:val="single" w:color="808080" w:sz="4" w:space="1"/>
      </w:pBdr>
      <w:adjustRightInd w:val="0"/>
      <w:snapToGrid w:val="0"/>
      <w:rPr>
        <w:rFonts w:ascii="宋体" w:hAnsi="宋体" w:eastAsia="宋体" w:cs="Times New Roman"/>
        <w:kern w:val="2"/>
        <w:sz w:val="21"/>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546A2">
    <w:pPr>
      <w:pStyle w:val="7"/>
      <w:pBdr>
        <w:bottom w:val="none" w:color="auto" w:sz="0" w:space="0"/>
      </w:pBdr>
      <w:adjustRightInd w:val="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28356">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4306D">
    <w:pPr>
      <w:pStyle w:val="7"/>
      <w:pBdr>
        <w:bottom w:val="single" w:color="auto" w:sz="4" w:space="1"/>
      </w:pBdr>
      <w:tabs>
        <w:tab w:val="right" w:pos="8299"/>
        <w:tab w:val="clear" w:pos="8306"/>
      </w:tabs>
      <w:jc w:val="both"/>
      <w:rPr>
        <w:rFonts w:hint="eastAsia" w:ascii="仿宋_GB2312" w:eastAsia="仿宋_GB2312"/>
      </w:rPr>
    </w:pPr>
    <w:r>
      <w:rPr>
        <w:rFonts w:ascii="仿宋_GB2312" w:eastAsia="仿宋_GB2312"/>
      </w:rPr>
      <w:tab/>
    </w:r>
    <w:r>
      <w:rPr>
        <w:rFonts w:ascii="仿宋_GB2312" w:eastAsia="仿宋_GB2312"/>
      </w:rPr>
      <w:tab/>
    </w:r>
    <w:r>
      <w:rPr>
        <w:rFonts w:hint="eastAsia" w:ascii="宋体" w:hAnsi="宋体" w:cs="宋体"/>
      </w:rPr>
      <w:t>遴选文件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45745"/>
    <w:multiLevelType w:val="multilevel"/>
    <w:tmpl w:val="00E45745"/>
    <w:lvl w:ilvl="0" w:tentative="0">
      <w:start w:val="1"/>
      <w:numFmt w:val="decimal"/>
      <w:lvlText w:val="%1. "/>
      <w:lvlJc w:val="left"/>
      <w:pPr>
        <w:ind w:left="1130" w:hanging="420"/>
      </w:pPr>
      <w:rPr>
        <w:rFonts w:hint="eastAsia"/>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2D850054"/>
    <w:multiLevelType w:val="multilevel"/>
    <w:tmpl w:val="2D850054"/>
    <w:lvl w:ilvl="0" w:tentative="0">
      <w:start w:val="1"/>
      <w:numFmt w:val="chineseCountingThousand"/>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BC70834"/>
    <w:multiLevelType w:val="multilevel"/>
    <w:tmpl w:val="3BC7083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E36F1A"/>
    <w:multiLevelType w:val="multilevel"/>
    <w:tmpl w:val="4FE36F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77C0B87"/>
    <w:multiLevelType w:val="multilevel"/>
    <w:tmpl w:val="577C0B87"/>
    <w:lvl w:ilvl="0" w:tentative="0">
      <w:start w:val="1"/>
      <w:numFmt w:val="chineseCountingThousand"/>
      <w:lvlText w:val="%1、"/>
      <w:lvlJc w:val="left"/>
      <w:pPr>
        <w:ind w:left="420" w:hanging="420"/>
      </w:pPr>
      <w:rPr>
        <w:rFonts w:hint="eastAsia"/>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943C15A"/>
    <w:multiLevelType w:val="singleLevel"/>
    <w:tmpl w:val="7943C15A"/>
    <w:lvl w:ilvl="0" w:tentative="0">
      <w:start w:val="4"/>
      <w:numFmt w:val="chineseCounting"/>
      <w:suff w:val="space"/>
      <w:lvlText w:val="第%1章"/>
      <w:lvlJc w:val="left"/>
      <w:rPr>
        <w:rFonts w:hint="eastAsia"/>
      </w:rPr>
    </w:lvl>
  </w:abstractNum>
  <w:num w:numId="1">
    <w:abstractNumId w:val="5"/>
  </w:num>
  <w:num w:numId="2">
    <w:abstractNumId w:val="2"/>
  </w:num>
  <w:num w:numId="3">
    <w:abstractNumId w:val="4"/>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70BEE"/>
    <w:rsid w:val="005D18A0"/>
    <w:rsid w:val="030656EB"/>
    <w:rsid w:val="0325315C"/>
    <w:rsid w:val="0A552AD4"/>
    <w:rsid w:val="0B94162F"/>
    <w:rsid w:val="0D203462"/>
    <w:rsid w:val="0D592BCB"/>
    <w:rsid w:val="111B1450"/>
    <w:rsid w:val="137B05DD"/>
    <w:rsid w:val="14913EE1"/>
    <w:rsid w:val="15D64EC1"/>
    <w:rsid w:val="15F438EE"/>
    <w:rsid w:val="17CE1F19"/>
    <w:rsid w:val="180C0CB4"/>
    <w:rsid w:val="1B660753"/>
    <w:rsid w:val="205F05A6"/>
    <w:rsid w:val="20BC431F"/>
    <w:rsid w:val="216440B6"/>
    <w:rsid w:val="224D54E1"/>
    <w:rsid w:val="264E68FD"/>
    <w:rsid w:val="27FC37DD"/>
    <w:rsid w:val="28A10D79"/>
    <w:rsid w:val="28B728A8"/>
    <w:rsid w:val="29762CAD"/>
    <w:rsid w:val="2C0C2CFB"/>
    <w:rsid w:val="2DBB3943"/>
    <w:rsid w:val="2E6E0517"/>
    <w:rsid w:val="2F7E1225"/>
    <w:rsid w:val="2FBC7FC0"/>
    <w:rsid w:val="308F1FB7"/>
    <w:rsid w:val="33A80546"/>
    <w:rsid w:val="35055E18"/>
    <w:rsid w:val="36311CEE"/>
    <w:rsid w:val="37D95311"/>
    <w:rsid w:val="38D41661"/>
    <w:rsid w:val="3B1818A3"/>
    <w:rsid w:val="3C8F7F13"/>
    <w:rsid w:val="3CE31336"/>
    <w:rsid w:val="3E9A0A62"/>
    <w:rsid w:val="410E1A54"/>
    <w:rsid w:val="43AC2428"/>
    <w:rsid w:val="44064CDB"/>
    <w:rsid w:val="45102687"/>
    <w:rsid w:val="4672156E"/>
    <w:rsid w:val="496A47F5"/>
    <w:rsid w:val="4D0D0786"/>
    <w:rsid w:val="4D322EB5"/>
    <w:rsid w:val="4E123E46"/>
    <w:rsid w:val="4E6054E1"/>
    <w:rsid w:val="50C119D0"/>
    <w:rsid w:val="51A42F16"/>
    <w:rsid w:val="51B80ED2"/>
    <w:rsid w:val="58810857"/>
    <w:rsid w:val="5ACB3550"/>
    <w:rsid w:val="5D3F6ADC"/>
    <w:rsid w:val="616710ED"/>
    <w:rsid w:val="62B50B96"/>
    <w:rsid w:val="63DA2CBD"/>
    <w:rsid w:val="64520930"/>
    <w:rsid w:val="64A66BB3"/>
    <w:rsid w:val="682F21DF"/>
    <w:rsid w:val="68FC0A46"/>
    <w:rsid w:val="697322EC"/>
    <w:rsid w:val="6B9D36EF"/>
    <w:rsid w:val="6DFC2CF5"/>
    <w:rsid w:val="6F415AD7"/>
    <w:rsid w:val="70C70BEE"/>
    <w:rsid w:val="70DE30D4"/>
    <w:rsid w:val="71D217D0"/>
    <w:rsid w:val="72C04A61"/>
    <w:rsid w:val="72E355B6"/>
    <w:rsid w:val="75874F20"/>
    <w:rsid w:val="76194585"/>
    <w:rsid w:val="78EE1D8F"/>
    <w:rsid w:val="7A47180C"/>
    <w:rsid w:val="7C347785"/>
    <w:rsid w:val="7DE04B9D"/>
    <w:rsid w:val="7E607CBB"/>
    <w:rsid w:val="7ED63BC3"/>
    <w:rsid w:val="7F0D0975"/>
    <w:rsid w:val="7FD33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qFormat/>
    <w:uiPriority w:val="0"/>
    <w:pPr>
      <w:keepNext/>
      <w:keepLines/>
      <w:autoSpaceDE w:val="0"/>
      <w:autoSpaceDN w:val="0"/>
      <w:adjustRightInd w:val="0"/>
      <w:spacing w:before="340" w:beforeLines="0" w:after="330" w:afterLines="0" w:line="578" w:lineRule="atLeast"/>
      <w:jc w:val="center"/>
      <w:outlineLvl w:val="0"/>
    </w:pPr>
    <w:rPr>
      <w:rFonts w:hint="eastAsia" w:ascii="宋体"/>
      <w:b/>
      <w:kern w:val="0"/>
      <w:sz w:val="44"/>
      <w:szCs w:val="20"/>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b/>
      <w:bCs/>
      <w:kern w:val="2"/>
      <w:sz w:val="32"/>
      <w:szCs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TOC 标题1"/>
    <w:basedOn w:val="3"/>
    <w:next w:val="1"/>
    <w:unhideWhenUsed/>
    <w:qFormat/>
    <w:uiPriority w:val="39"/>
    <w:pPr>
      <w:widowControl/>
      <w:spacing w:before="480" w:line="276" w:lineRule="auto"/>
      <w:jc w:val="left"/>
      <w:outlineLvl w:val="9"/>
    </w:pPr>
    <w:rPr>
      <w:rFonts w:ascii="Cambria" w:hAnsi="Cambria"/>
      <w:color w:val="366091"/>
      <w:kern w:val="0"/>
      <w:sz w:val="28"/>
      <w:szCs w:val="28"/>
    </w:rPr>
  </w:style>
  <w:style w:type="paragraph" w:styleId="5">
    <w:name w:val="Normal Indent"/>
    <w:basedOn w:val="1"/>
    <w:qFormat/>
    <w:uiPriority w:val="0"/>
    <w:pPr>
      <w:ind w:firstLine="420"/>
    </w:pPr>
    <w:rPr>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spacing w:before="120" w:beforeLines="0" w:after="120" w:afterLines="0"/>
      <w:jc w:val="left"/>
    </w:pPr>
    <w:rPr>
      <w:b/>
      <w:bCs/>
      <w:caps/>
      <w:sz w:val="20"/>
      <w:szCs w:val="20"/>
    </w:rPr>
  </w:style>
  <w:style w:type="paragraph" w:styleId="9">
    <w:name w:val="toc 2"/>
    <w:basedOn w:val="1"/>
    <w:next w:val="1"/>
    <w:qFormat/>
    <w:uiPriority w:val="39"/>
    <w:pPr>
      <w:ind w:left="210"/>
      <w:jc w:val="left"/>
    </w:pPr>
    <w:rPr>
      <w:smallCaps/>
      <w:sz w:val="20"/>
      <w:szCs w:val="20"/>
    </w:rPr>
  </w:style>
  <w:style w:type="character" w:styleId="12">
    <w:name w:val="Strong"/>
    <w:basedOn w:val="11"/>
    <w:qFormat/>
    <w:uiPriority w:val="0"/>
    <w:rPr>
      <w:b/>
    </w:rPr>
  </w:style>
  <w:style w:type="character" w:styleId="13">
    <w:name w:val="page number"/>
    <w:qFormat/>
    <w:uiPriority w:val="0"/>
  </w:style>
  <w:style w:type="paragraph" w:styleId="14">
    <w:name w:val="List Paragraph"/>
    <w:basedOn w:val="1"/>
    <w:qFormat/>
    <w:uiPriority w:val="34"/>
    <w:pPr>
      <w:ind w:firstLine="420" w:firstLineChars="200"/>
    </w:pPr>
  </w:style>
  <w:style w:type="character" w:customStyle="1" w:styleId="15">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665</Words>
  <Characters>682</Characters>
  <Lines>0</Lines>
  <Paragraphs>0</Paragraphs>
  <TotalTime>1</TotalTime>
  <ScaleCrop>false</ScaleCrop>
  <LinksUpToDate>false</LinksUpToDate>
  <CharactersWithSpaces>700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2025-03-26T06:27:00Z</dcterms:created>
  <dc:creator>PEAR</dc:creator>
  <cp:lastModifiedBy>黄玮松</cp:lastModifiedBy>
  <dcterms:modified xsi:type="dcterms:W3CDTF">2025-07-03T08:46:57Z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eyJoZGlkIjoiOGM4NWQyMGM0MWQzOTY3MDNiM2ZlNGExY2QwY2UwNjMiLCJ1c2VySWQiOiIyNDg5MDY0MzkifQ==</vt:lpwstr>
  </property>
  <property fmtid="{D5CDD505-2E9C-101B-9397-08002B2CF9AE}" pid="4" name="ICV">
    <vt:lpwstr>F45A451ED02B42DC9F6E3C28E4D22D9B_13</vt:lpwstr>
  </property>
</Properties>
</file>